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FC6CD1">
      <w:pPr>
        <w:pStyle w:val="3"/>
      </w:pPr>
    </w:p>
    <w:p w14:paraId="7BE7916C">
      <w:pPr>
        <w:jc w:val="center"/>
        <w:rPr>
          <w:rFonts w:ascii="Century Gothic" w:hAnsi="Century Gothic" w:cs="Arial"/>
          <w:b/>
          <w:sz w:val="50"/>
          <w:szCs w:val="50"/>
        </w:rPr>
      </w:pPr>
    </w:p>
    <w:p w14:paraId="7DC2D40B">
      <w:pPr>
        <w:jc w:val="center"/>
        <w:rPr>
          <w:rFonts w:ascii="Century Gothic" w:hAnsi="Century Gothic" w:cs="Arial"/>
          <w:b/>
          <w:sz w:val="50"/>
          <w:szCs w:val="50"/>
        </w:rPr>
      </w:pPr>
      <w:r>
        <w:rPr>
          <w:rFonts w:ascii="Century Gothic" w:hAnsi="Century Gothic" w:cs="Arial"/>
          <w:b/>
          <w:sz w:val="50"/>
          <w:szCs w:val="50"/>
        </w:rPr>
        <w:t xml:space="preserve">Manual - Sistema de Administración de Riesgos de Lavado de Activos y Financiación del Terrorismo </w:t>
      </w:r>
    </w:p>
    <w:p w14:paraId="364D94EB">
      <w:pPr>
        <w:jc w:val="center"/>
        <w:rPr>
          <w:rFonts w:ascii="Century Gothic" w:hAnsi="Century Gothic" w:cs="Arial"/>
          <w:b/>
          <w:sz w:val="76"/>
          <w:szCs w:val="76"/>
        </w:rPr>
      </w:pPr>
      <w:r>
        <w:rPr>
          <w:rFonts w:ascii="Century Gothic" w:hAnsi="Century Gothic" w:cs="Arial"/>
          <w:b/>
          <w:sz w:val="76"/>
          <w:szCs w:val="76"/>
        </w:rPr>
        <w:t>SARLAFT</w:t>
      </w:r>
    </w:p>
    <w:p w14:paraId="5956DD00">
      <w:pPr>
        <w:pStyle w:val="2"/>
        <w:ind w:left="708" w:hanging="708"/>
        <w:jc w:val="center"/>
        <w:rPr>
          <w:rFonts w:ascii="Century Gothic" w:hAnsi="Century Gothic"/>
          <w:sz w:val="22"/>
          <w:szCs w:val="22"/>
        </w:rPr>
      </w:pPr>
    </w:p>
    <w:p w14:paraId="74693CD6">
      <w:pPr>
        <w:pStyle w:val="2"/>
        <w:ind w:left="708" w:hanging="708"/>
        <w:jc w:val="center"/>
        <w:rPr>
          <w:rFonts w:ascii="Century Gothic" w:hAnsi="Century Gothic"/>
          <w:sz w:val="22"/>
          <w:szCs w:val="22"/>
          <w:lang w:val="es-ES"/>
        </w:rPr>
      </w:pPr>
    </w:p>
    <w:p w14:paraId="044FD6E8">
      <w:pPr>
        <w:pStyle w:val="2"/>
        <w:ind w:left="708" w:hanging="708"/>
        <w:jc w:val="center"/>
        <w:rPr>
          <w:rFonts w:ascii="Century Gothic" w:hAnsi="Century Gothic"/>
          <w:sz w:val="22"/>
          <w:szCs w:val="22"/>
          <w:lang w:val="es-ES"/>
        </w:rPr>
      </w:pPr>
    </w:p>
    <w:p w14:paraId="235A7FC6">
      <w:pPr>
        <w:rPr>
          <w:lang w:val="es-ES"/>
        </w:rPr>
      </w:pPr>
    </w:p>
    <w:p w14:paraId="61E482EE">
      <w:pPr>
        <w:rPr>
          <w:lang w:val="es-ES"/>
        </w:rPr>
      </w:pPr>
    </w:p>
    <w:p w14:paraId="167FC08D">
      <w:pPr>
        <w:rPr>
          <w:lang w:val="es-ES"/>
        </w:rPr>
      </w:pPr>
    </w:p>
    <w:p w14:paraId="3E0A9DC4">
      <w:pPr>
        <w:rPr>
          <w:lang w:val="es-ES"/>
        </w:rPr>
      </w:pPr>
    </w:p>
    <w:p w14:paraId="3853390D">
      <w:pPr>
        <w:rPr>
          <w:lang w:val="es-ES"/>
        </w:rPr>
      </w:pPr>
    </w:p>
    <w:p w14:paraId="6BC0812F">
      <w:pPr>
        <w:rPr>
          <w:lang w:val="es-ES"/>
        </w:rPr>
      </w:pPr>
    </w:p>
    <w:p w14:paraId="5328E3A1">
      <w:pPr>
        <w:rPr>
          <w:lang w:val="es-ES"/>
        </w:rPr>
      </w:pPr>
    </w:p>
    <w:p w14:paraId="62B1858E">
      <w:pPr>
        <w:rPr>
          <w:lang w:val="es-ES"/>
        </w:rPr>
      </w:pPr>
    </w:p>
    <w:p w14:paraId="4F5D9245">
      <w:pPr>
        <w:rPr>
          <w:lang w:val="es-ES"/>
        </w:rPr>
      </w:pPr>
    </w:p>
    <w:p w14:paraId="53C13A4E">
      <w:pPr>
        <w:rPr>
          <w:lang w:val="es-ES"/>
        </w:rPr>
      </w:pPr>
    </w:p>
    <w:p w14:paraId="4FD89828">
      <w:pPr>
        <w:rPr>
          <w:rFonts w:ascii="Century Gothic" w:hAnsi="Century Gothic"/>
          <w:b/>
          <w:sz w:val="40"/>
          <w:szCs w:val="40"/>
        </w:rPr>
      </w:pPr>
    </w:p>
    <w:p w14:paraId="43521ACA">
      <w:pPr>
        <w:jc w:val="center"/>
        <w:rPr>
          <w:rFonts w:ascii="Century Gothic" w:hAnsi="Century Gothic"/>
          <w:b/>
          <w:sz w:val="40"/>
          <w:szCs w:val="40"/>
        </w:rPr>
      </w:pPr>
    </w:p>
    <w:p w14:paraId="6295A028">
      <w:pPr>
        <w:jc w:val="center"/>
        <w:rPr>
          <w:rFonts w:ascii="Century Gothic" w:hAnsi="Century Gothic"/>
          <w:b/>
          <w:sz w:val="50"/>
          <w:szCs w:val="50"/>
        </w:rPr>
      </w:pPr>
      <w:r>
        <w:rPr>
          <w:rFonts w:ascii="Century Gothic" w:hAnsi="Century Gothic"/>
          <w:b/>
          <w:sz w:val="50"/>
          <w:szCs w:val="50"/>
        </w:rPr>
        <w:t>COOPERATIVA DE AMIGOS Y VECINOS DE CALLEJONA LTDA “COOPCALLEJONA LTDA.”</w:t>
      </w:r>
    </w:p>
    <w:p w14:paraId="212E081B">
      <w:pPr>
        <w:jc w:val="center"/>
        <w:rPr>
          <w:rFonts w:ascii="Century Gothic" w:hAnsi="Century Gothic"/>
          <w:b/>
          <w:sz w:val="44"/>
          <w:szCs w:val="44"/>
        </w:rPr>
      </w:pPr>
    </w:p>
    <w:p w14:paraId="4EE66BF4">
      <w:pPr>
        <w:tabs>
          <w:tab w:val="left" w:pos="3374"/>
        </w:tabs>
        <w:rPr>
          <w:rFonts w:ascii="Century Gothic" w:hAnsi="Century Gothic"/>
          <w:b/>
          <w:sz w:val="50"/>
          <w:szCs w:val="50"/>
        </w:rPr>
      </w:pPr>
    </w:p>
    <w:p w14:paraId="4102F295">
      <w:pPr>
        <w:jc w:val="center"/>
        <w:rPr>
          <w:rFonts w:ascii="Century Gothic" w:hAnsi="Century Gothic"/>
          <w:b/>
          <w:sz w:val="22"/>
          <w:szCs w:val="22"/>
          <w:lang w:val="es-ES"/>
        </w:rPr>
      </w:pPr>
      <w:r>
        <w:rPr>
          <w:rFonts w:ascii="Century Gothic" w:hAnsi="Century Gothic"/>
          <w:b/>
          <w:sz w:val="22"/>
          <w:szCs w:val="22"/>
          <w:lang w:val="es-ES"/>
        </w:rPr>
        <w:t>TABLA DE CONTENIDO</w:t>
      </w:r>
    </w:p>
    <w:p w14:paraId="292110ED">
      <w:pPr>
        <w:jc w:val="center"/>
        <w:rPr>
          <w:rFonts w:ascii="Century Gothic" w:hAnsi="Century Gothic"/>
          <w:b/>
          <w:sz w:val="22"/>
          <w:szCs w:val="22"/>
          <w:lang w:val="es-ES"/>
        </w:rPr>
      </w:pPr>
      <w:r>
        <w:rPr>
          <w:rFonts w:ascii="Century Gothic" w:hAnsi="Century Gothic"/>
          <w:b/>
          <w:sz w:val="22"/>
          <w:szCs w:val="22"/>
          <w:lang w:val="es-ES"/>
        </w:rPr>
        <w:t xml:space="preserve">                                                                                                                                     Pág. </w:t>
      </w:r>
    </w:p>
    <w:tbl>
      <w:tblPr>
        <w:tblStyle w:val="50"/>
        <w:tblpPr w:leftFromText="141" w:rightFromText="141" w:vertAnchor="text" w:horzAnchor="margin" w:tblpY="121"/>
        <w:tblW w:w="850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autofit"/>
        <w:tblCellMar>
          <w:top w:w="0" w:type="dxa"/>
          <w:left w:w="108" w:type="dxa"/>
          <w:bottom w:w="0" w:type="dxa"/>
          <w:right w:w="108" w:type="dxa"/>
        </w:tblCellMar>
      </w:tblPr>
      <w:tblGrid>
        <w:gridCol w:w="8770"/>
      </w:tblGrid>
      <w:tr w14:paraId="280F5F5B">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8506" w:type="dxa"/>
          </w:tcPr>
          <w:p w14:paraId="749322EB">
            <w:pPr>
              <w:pStyle w:val="65"/>
              <w:ind w:left="720"/>
              <w:rPr>
                <w:rFonts w:ascii="Century Gothic" w:hAnsi="Century Gothic"/>
              </w:rPr>
            </w:pPr>
          </w:p>
          <w:p w14:paraId="4BAF94DF">
            <w:pPr>
              <w:pStyle w:val="65"/>
              <w:ind w:left="720"/>
              <w:contextualSpacing/>
              <w:rPr>
                <w:rFonts w:ascii="Century Gothic" w:hAnsi="Century Gothic"/>
                <w:sz w:val="22"/>
                <w:szCs w:val="22"/>
              </w:rPr>
            </w:pPr>
            <w:r>
              <w:rPr>
                <w:rFonts w:ascii="Century Gothic" w:hAnsi="Century Gothic"/>
                <w:sz w:val="22"/>
                <w:szCs w:val="22"/>
              </w:rPr>
              <w:t>INTRODUCCIÓN…………………………………………………………………….  4</w:t>
            </w:r>
          </w:p>
          <w:p w14:paraId="29EF0076">
            <w:pPr>
              <w:pStyle w:val="65"/>
              <w:numPr>
                <w:ilvl w:val="0"/>
                <w:numId w:val="1"/>
              </w:numPr>
              <w:contextualSpacing/>
              <w:rPr>
                <w:rFonts w:ascii="Century Gothic" w:hAnsi="Century Gothic"/>
                <w:sz w:val="22"/>
                <w:szCs w:val="22"/>
              </w:rPr>
            </w:pPr>
            <w:r>
              <w:rPr>
                <w:rFonts w:ascii="Century Gothic" w:hAnsi="Century Gothic"/>
                <w:sz w:val="22"/>
                <w:szCs w:val="22"/>
              </w:rPr>
              <w:t>DISPOSICIONES GENERALES…………………...……………………………………  6</w:t>
            </w:r>
          </w:p>
          <w:p w14:paraId="50F1735A">
            <w:pPr>
              <w:pStyle w:val="65"/>
              <w:numPr>
                <w:ilvl w:val="0"/>
                <w:numId w:val="1"/>
              </w:numPr>
              <w:contextualSpacing/>
              <w:rPr>
                <w:rFonts w:ascii="Century Gothic" w:hAnsi="Century Gothic"/>
                <w:sz w:val="22"/>
                <w:szCs w:val="22"/>
              </w:rPr>
            </w:pPr>
            <w:r>
              <w:rPr>
                <w:rFonts w:ascii="Century Gothic" w:hAnsi="Century Gothic"/>
                <w:sz w:val="22"/>
                <w:szCs w:val="22"/>
              </w:rPr>
              <w:t>OBJETIVO GENERAL, OBJETIVOS ESPECIFICOS Y ALCANCE DEL MANUAL…  7</w:t>
            </w:r>
          </w:p>
          <w:p w14:paraId="59E31E48">
            <w:pPr>
              <w:pStyle w:val="65"/>
              <w:numPr>
                <w:ilvl w:val="0"/>
                <w:numId w:val="1"/>
              </w:numPr>
              <w:contextualSpacing/>
              <w:rPr>
                <w:rFonts w:ascii="Century Gothic" w:hAnsi="Century Gothic"/>
                <w:sz w:val="22"/>
                <w:szCs w:val="22"/>
              </w:rPr>
            </w:pPr>
            <w:r>
              <w:rPr>
                <w:rFonts w:ascii="Century Gothic" w:hAnsi="Century Gothic"/>
                <w:sz w:val="22"/>
                <w:szCs w:val="22"/>
              </w:rPr>
              <w:t>DEFINICIONES Y VOCABLOS………………………………………………………..   9</w:t>
            </w:r>
          </w:p>
          <w:p w14:paraId="790DA125">
            <w:pPr>
              <w:pStyle w:val="65"/>
              <w:numPr>
                <w:ilvl w:val="0"/>
                <w:numId w:val="1"/>
              </w:numPr>
              <w:contextualSpacing/>
              <w:rPr>
                <w:rFonts w:ascii="Century Gothic" w:hAnsi="Century Gothic"/>
                <w:sz w:val="22"/>
                <w:szCs w:val="22"/>
              </w:rPr>
            </w:pPr>
            <w:r>
              <w:rPr>
                <w:rFonts w:ascii="Century Gothic" w:hAnsi="Century Gothic"/>
                <w:sz w:val="22"/>
                <w:szCs w:val="22"/>
              </w:rPr>
              <w:t>DESCRIPCIÓN GENERAL DE LA ENTIDAD………………………………………... 16</w:t>
            </w:r>
          </w:p>
          <w:p w14:paraId="1AEC0559">
            <w:pPr>
              <w:pStyle w:val="65"/>
              <w:numPr>
                <w:ilvl w:val="0"/>
                <w:numId w:val="1"/>
              </w:numPr>
              <w:contextualSpacing/>
              <w:rPr>
                <w:rFonts w:ascii="Century Gothic" w:hAnsi="Century Gothic"/>
                <w:sz w:val="22"/>
                <w:szCs w:val="22"/>
              </w:rPr>
            </w:pPr>
            <w:r>
              <w:rPr>
                <w:rFonts w:ascii="Century Gothic" w:hAnsi="Century Gothic"/>
                <w:sz w:val="22"/>
                <w:szCs w:val="22"/>
              </w:rPr>
              <w:t>MARCO JURÍDICO DEL MANUAL DE SARLAFT………………………………….  18</w:t>
            </w:r>
          </w:p>
          <w:p w14:paraId="6B95F960">
            <w:pPr>
              <w:pStyle w:val="65"/>
              <w:numPr>
                <w:ilvl w:val="1"/>
                <w:numId w:val="1"/>
              </w:numPr>
              <w:contextualSpacing/>
              <w:rPr>
                <w:rFonts w:ascii="Century Gothic" w:hAnsi="Century Gothic"/>
                <w:sz w:val="22"/>
                <w:szCs w:val="22"/>
              </w:rPr>
            </w:pPr>
            <w:r>
              <w:rPr>
                <w:rFonts w:ascii="Century Gothic" w:hAnsi="Century Gothic"/>
                <w:sz w:val="22"/>
                <w:szCs w:val="22"/>
              </w:rPr>
              <w:t>NORMATIVA NACIONAL……………………………………………………….  18</w:t>
            </w:r>
          </w:p>
          <w:p w14:paraId="738CD41A">
            <w:pPr>
              <w:pStyle w:val="65"/>
              <w:numPr>
                <w:ilvl w:val="1"/>
                <w:numId w:val="1"/>
              </w:numPr>
              <w:contextualSpacing/>
              <w:rPr>
                <w:rFonts w:ascii="Century Gothic" w:hAnsi="Century Gothic"/>
                <w:sz w:val="22"/>
                <w:szCs w:val="22"/>
              </w:rPr>
            </w:pPr>
            <w:r>
              <w:rPr>
                <w:rFonts w:ascii="Century Gothic" w:hAnsi="Century Gothic"/>
                <w:sz w:val="22"/>
                <w:szCs w:val="22"/>
              </w:rPr>
              <w:t>NORMATIVA INTERNACIONAL  Y DECLARATORIAS…………………….....  20</w:t>
            </w:r>
          </w:p>
          <w:p w14:paraId="7CB1EFF0">
            <w:pPr>
              <w:pStyle w:val="65"/>
              <w:numPr>
                <w:ilvl w:val="1"/>
                <w:numId w:val="1"/>
              </w:numPr>
              <w:contextualSpacing/>
              <w:rPr>
                <w:rFonts w:ascii="Century Gothic" w:hAnsi="Century Gothic"/>
                <w:sz w:val="22"/>
                <w:szCs w:val="22"/>
              </w:rPr>
            </w:pPr>
            <w:r>
              <w:rPr>
                <w:rFonts w:ascii="Century Gothic" w:hAnsi="Century Gothic"/>
                <w:sz w:val="22"/>
                <w:szCs w:val="22"/>
              </w:rPr>
              <w:t>NORMATIVIDAD AL INTERIOR DE LA ENTIDAD……………………………..   23</w:t>
            </w:r>
          </w:p>
          <w:p w14:paraId="514ECC30">
            <w:pPr>
              <w:pStyle w:val="65"/>
              <w:numPr>
                <w:ilvl w:val="0"/>
                <w:numId w:val="1"/>
              </w:numPr>
              <w:contextualSpacing/>
              <w:rPr>
                <w:rFonts w:ascii="Century Gothic" w:hAnsi="Century Gothic"/>
                <w:sz w:val="22"/>
                <w:szCs w:val="22"/>
              </w:rPr>
            </w:pPr>
            <w:r>
              <w:rPr>
                <w:rFonts w:ascii="Century Gothic" w:hAnsi="Century Gothic"/>
                <w:sz w:val="22"/>
                <w:szCs w:val="22"/>
              </w:rPr>
              <w:t>ASPECTOS GENERALES SOBRE LAVADO DE ACTIVOS Y FINANCIACIÓN DEL TERRORISMO ………………………………………………………………………… . 24</w:t>
            </w:r>
          </w:p>
          <w:p w14:paraId="56FC2CF8">
            <w:pPr>
              <w:pStyle w:val="65"/>
              <w:numPr>
                <w:ilvl w:val="1"/>
                <w:numId w:val="1"/>
              </w:numPr>
              <w:contextualSpacing/>
              <w:rPr>
                <w:rFonts w:ascii="Century Gothic" w:hAnsi="Century Gothic"/>
                <w:sz w:val="22"/>
                <w:szCs w:val="22"/>
              </w:rPr>
            </w:pPr>
            <w:r>
              <w:rPr>
                <w:rFonts w:ascii="Century Gothic" w:hAnsi="Century Gothic"/>
                <w:sz w:val="22"/>
                <w:szCs w:val="22"/>
              </w:rPr>
              <w:t>LAVADO DE ACTIVOS………………………………………………………….... 24</w:t>
            </w:r>
          </w:p>
          <w:p w14:paraId="235616A3">
            <w:pPr>
              <w:pStyle w:val="65"/>
              <w:numPr>
                <w:ilvl w:val="1"/>
                <w:numId w:val="1"/>
              </w:numPr>
              <w:contextualSpacing/>
              <w:rPr>
                <w:rFonts w:ascii="Century Gothic" w:hAnsi="Century Gothic"/>
                <w:sz w:val="22"/>
                <w:szCs w:val="22"/>
              </w:rPr>
            </w:pPr>
            <w:r>
              <w:rPr>
                <w:rFonts w:ascii="Century Gothic" w:hAnsi="Century Gothic"/>
                <w:sz w:val="22"/>
                <w:szCs w:val="22"/>
              </w:rPr>
              <w:t>FINANCIACIÓN DEL TERRORISMO…………………………………………….   31</w:t>
            </w:r>
          </w:p>
          <w:p w14:paraId="38AF3E50">
            <w:pPr>
              <w:pStyle w:val="65"/>
              <w:numPr>
                <w:ilvl w:val="1"/>
                <w:numId w:val="1"/>
              </w:numPr>
              <w:contextualSpacing/>
              <w:rPr>
                <w:rFonts w:ascii="Century Gothic" w:hAnsi="Century Gothic"/>
                <w:sz w:val="22"/>
                <w:szCs w:val="22"/>
              </w:rPr>
            </w:pPr>
            <w:r>
              <w:rPr>
                <w:rFonts w:ascii="Century Gothic" w:hAnsi="Century Gothic"/>
                <w:sz w:val="22"/>
                <w:szCs w:val="22"/>
              </w:rPr>
              <w:t>CONSECUENCIAS  DEL LAVADO DE ACTIVOS Y FINANCIACIÓN DEL TERRORISMO………………………………………………………………………  33</w:t>
            </w:r>
          </w:p>
          <w:p w14:paraId="35F64766">
            <w:pPr>
              <w:pStyle w:val="65"/>
              <w:numPr>
                <w:ilvl w:val="1"/>
                <w:numId w:val="1"/>
              </w:numPr>
              <w:contextualSpacing/>
              <w:rPr>
                <w:rFonts w:ascii="Century Gothic" w:hAnsi="Century Gothic"/>
                <w:sz w:val="22"/>
                <w:szCs w:val="22"/>
              </w:rPr>
            </w:pPr>
            <w:r>
              <w:rPr>
                <w:rFonts w:ascii="Century Gothic" w:hAnsi="Century Gothic"/>
                <w:sz w:val="22"/>
                <w:szCs w:val="22"/>
              </w:rPr>
              <w:t>BUENAS PRÁCTICAS CONTRA EL LAVADO DE ACTIVOS Y FINANCIACIÓN DEL TERRORISMO…………………………………………………………………  33</w:t>
            </w:r>
          </w:p>
          <w:p w14:paraId="441DE0B5">
            <w:pPr>
              <w:pStyle w:val="65"/>
              <w:numPr>
                <w:ilvl w:val="0"/>
                <w:numId w:val="1"/>
              </w:numPr>
              <w:contextualSpacing/>
              <w:rPr>
                <w:rFonts w:ascii="Century Gothic" w:hAnsi="Century Gothic"/>
                <w:sz w:val="22"/>
                <w:szCs w:val="22"/>
              </w:rPr>
            </w:pPr>
            <w:r>
              <w:rPr>
                <w:rFonts w:ascii="Century Gothic" w:hAnsi="Century Gothic"/>
                <w:sz w:val="22"/>
                <w:szCs w:val="22"/>
              </w:rPr>
              <w:t>GENERALIDADES DEL SARLAFT…………………………………………………….   35</w:t>
            </w:r>
          </w:p>
          <w:p w14:paraId="494252A0">
            <w:pPr>
              <w:pStyle w:val="65"/>
              <w:numPr>
                <w:ilvl w:val="1"/>
                <w:numId w:val="1"/>
              </w:numPr>
              <w:contextualSpacing/>
              <w:rPr>
                <w:rFonts w:ascii="Century Gothic" w:hAnsi="Century Gothic"/>
                <w:sz w:val="22"/>
                <w:szCs w:val="22"/>
              </w:rPr>
            </w:pPr>
            <w:r>
              <w:rPr>
                <w:rFonts w:ascii="Century Gothic" w:hAnsi="Century Gothic"/>
                <w:sz w:val="22"/>
                <w:szCs w:val="22"/>
              </w:rPr>
              <w:t>ELEMENTOS DEL SARLAFT…………………………………………………….…  36</w:t>
            </w:r>
          </w:p>
          <w:p w14:paraId="106899EC">
            <w:pPr>
              <w:pStyle w:val="65"/>
              <w:numPr>
                <w:ilvl w:val="2"/>
                <w:numId w:val="1"/>
              </w:numPr>
              <w:contextualSpacing/>
              <w:rPr>
                <w:rFonts w:ascii="Century Gothic" w:hAnsi="Century Gothic"/>
                <w:sz w:val="22"/>
                <w:szCs w:val="22"/>
              </w:rPr>
            </w:pPr>
            <w:r>
              <w:rPr>
                <w:rFonts w:ascii="Century Gothic" w:hAnsi="Century Gothic"/>
                <w:sz w:val="22"/>
                <w:szCs w:val="22"/>
              </w:rPr>
              <w:t>POLÍTICAS……………………………………………………………………….…  36</w:t>
            </w:r>
          </w:p>
          <w:p w14:paraId="17E5A564">
            <w:pPr>
              <w:pStyle w:val="65"/>
              <w:numPr>
                <w:ilvl w:val="3"/>
                <w:numId w:val="1"/>
              </w:numPr>
              <w:contextualSpacing/>
              <w:rPr>
                <w:rFonts w:ascii="Century Gothic" w:hAnsi="Century Gothic"/>
                <w:sz w:val="22"/>
                <w:szCs w:val="22"/>
              </w:rPr>
            </w:pPr>
            <w:r>
              <w:rPr>
                <w:rFonts w:ascii="Century Gothic" w:hAnsi="Century Gothic"/>
                <w:sz w:val="22"/>
                <w:szCs w:val="22"/>
              </w:rPr>
              <w:t>POLITICAS GENERALES……………………………………………………..   36</w:t>
            </w:r>
          </w:p>
          <w:p w14:paraId="600698B6">
            <w:pPr>
              <w:pStyle w:val="65"/>
              <w:numPr>
                <w:ilvl w:val="3"/>
                <w:numId w:val="1"/>
              </w:numPr>
              <w:contextualSpacing/>
              <w:rPr>
                <w:rFonts w:ascii="Century Gothic" w:hAnsi="Century Gothic"/>
                <w:sz w:val="22"/>
                <w:szCs w:val="22"/>
              </w:rPr>
            </w:pPr>
            <w:r>
              <w:rPr>
                <w:rFonts w:ascii="Century Gothic" w:hAnsi="Century Gothic"/>
                <w:sz w:val="22"/>
                <w:szCs w:val="22"/>
              </w:rPr>
              <w:t>POLITICAS ESPECÍFICAS……………………………………………………   39</w:t>
            </w:r>
          </w:p>
          <w:p w14:paraId="781D5E79">
            <w:pPr>
              <w:pStyle w:val="65"/>
              <w:numPr>
                <w:ilvl w:val="2"/>
                <w:numId w:val="1"/>
              </w:numPr>
              <w:contextualSpacing/>
              <w:rPr>
                <w:rFonts w:ascii="Century Gothic" w:hAnsi="Century Gothic"/>
                <w:sz w:val="22"/>
                <w:szCs w:val="22"/>
              </w:rPr>
            </w:pPr>
            <w:r>
              <w:rPr>
                <w:rFonts w:ascii="Century Gothic" w:hAnsi="Century Gothic"/>
                <w:sz w:val="22"/>
                <w:szCs w:val="22"/>
              </w:rPr>
              <w:t>PROCEDIMIENTOS……………………………………………………………….   44</w:t>
            </w:r>
          </w:p>
          <w:p w14:paraId="19BE386D">
            <w:pPr>
              <w:pStyle w:val="65"/>
              <w:numPr>
                <w:ilvl w:val="3"/>
                <w:numId w:val="1"/>
              </w:numPr>
              <w:contextualSpacing/>
              <w:rPr>
                <w:rFonts w:ascii="Century Gothic" w:hAnsi="Century Gothic"/>
                <w:sz w:val="22"/>
                <w:szCs w:val="22"/>
              </w:rPr>
            </w:pPr>
            <w:r>
              <w:rPr>
                <w:rFonts w:ascii="Century Gothic" w:hAnsi="Century Gothic"/>
                <w:sz w:val="22"/>
                <w:szCs w:val="22"/>
              </w:rPr>
              <w:t>PROCEDIMIENTOS ESPECIALES…………………………………………...   45</w:t>
            </w:r>
          </w:p>
          <w:p w14:paraId="318779CD">
            <w:pPr>
              <w:pStyle w:val="65"/>
              <w:numPr>
                <w:ilvl w:val="3"/>
                <w:numId w:val="1"/>
              </w:numPr>
              <w:contextualSpacing/>
              <w:rPr>
                <w:rFonts w:ascii="Century Gothic" w:hAnsi="Century Gothic"/>
                <w:sz w:val="22"/>
                <w:szCs w:val="22"/>
              </w:rPr>
            </w:pPr>
            <w:r>
              <w:rPr>
                <w:rFonts w:ascii="Century Gothic" w:hAnsi="Century Gothic"/>
                <w:sz w:val="22"/>
                <w:szCs w:val="22"/>
              </w:rPr>
              <w:t>MECANISMOS………………………………………………………………..   49</w:t>
            </w:r>
          </w:p>
          <w:p w14:paraId="35587CE6">
            <w:pPr>
              <w:pStyle w:val="65"/>
              <w:numPr>
                <w:ilvl w:val="3"/>
                <w:numId w:val="1"/>
              </w:numPr>
              <w:contextualSpacing/>
              <w:rPr>
                <w:rFonts w:ascii="Century Gothic" w:hAnsi="Century Gothic"/>
                <w:sz w:val="22"/>
                <w:szCs w:val="22"/>
              </w:rPr>
            </w:pPr>
            <w:r>
              <w:rPr>
                <w:rFonts w:ascii="Century Gothic" w:hAnsi="Century Gothic"/>
                <w:sz w:val="22"/>
                <w:szCs w:val="22"/>
              </w:rPr>
              <w:t>INSTRUMENTOS……………………………………………………………….   56</w:t>
            </w:r>
          </w:p>
          <w:p w14:paraId="1EBC4BB7">
            <w:pPr>
              <w:pStyle w:val="65"/>
              <w:numPr>
                <w:ilvl w:val="2"/>
                <w:numId w:val="1"/>
              </w:numPr>
              <w:contextualSpacing/>
              <w:rPr>
                <w:rFonts w:ascii="Century Gothic" w:hAnsi="Century Gothic"/>
                <w:sz w:val="22"/>
                <w:szCs w:val="22"/>
              </w:rPr>
            </w:pPr>
            <w:r>
              <w:rPr>
                <w:rFonts w:ascii="Century Gothic" w:hAnsi="Century Gothic"/>
                <w:sz w:val="22"/>
                <w:szCs w:val="22"/>
              </w:rPr>
              <w:t>DOCUMENTACIÓN………………………………………………………………  64</w:t>
            </w:r>
          </w:p>
          <w:p w14:paraId="38B15BE3">
            <w:pPr>
              <w:pStyle w:val="65"/>
              <w:numPr>
                <w:ilvl w:val="3"/>
                <w:numId w:val="1"/>
              </w:numPr>
              <w:contextualSpacing/>
              <w:rPr>
                <w:rFonts w:ascii="Century Gothic" w:hAnsi="Century Gothic"/>
                <w:sz w:val="22"/>
                <w:szCs w:val="22"/>
              </w:rPr>
            </w:pPr>
            <w:r>
              <w:rPr>
                <w:rFonts w:ascii="Century Gothic" w:hAnsi="Century Gothic"/>
                <w:sz w:val="22"/>
                <w:szCs w:val="22"/>
              </w:rPr>
              <w:t>RESERVA DE INFORMACIÓN ………………………………………………  64</w:t>
            </w:r>
          </w:p>
          <w:p w14:paraId="071ED3FB">
            <w:pPr>
              <w:pStyle w:val="65"/>
              <w:numPr>
                <w:ilvl w:val="3"/>
                <w:numId w:val="1"/>
              </w:numPr>
              <w:contextualSpacing/>
              <w:rPr>
                <w:rFonts w:ascii="Century Gothic" w:hAnsi="Century Gothic"/>
                <w:sz w:val="22"/>
                <w:szCs w:val="22"/>
              </w:rPr>
            </w:pPr>
            <w:r>
              <w:rPr>
                <w:rFonts w:ascii="Century Gothic" w:hAnsi="Century Gothic"/>
                <w:sz w:val="22"/>
                <w:szCs w:val="22"/>
              </w:rPr>
              <w:t>CONSERVACIÓN DE DOCUMENTOS …………………………………….  65</w:t>
            </w:r>
          </w:p>
          <w:p w14:paraId="44B706B8">
            <w:pPr>
              <w:pStyle w:val="65"/>
              <w:numPr>
                <w:ilvl w:val="3"/>
                <w:numId w:val="1"/>
              </w:numPr>
              <w:contextualSpacing/>
              <w:rPr>
                <w:rFonts w:ascii="Century Gothic" w:hAnsi="Century Gothic"/>
                <w:sz w:val="22"/>
                <w:szCs w:val="22"/>
              </w:rPr>
            </w:pPr>
            <w:r>
              <w:rPr>
                <w:rFonts w:ascii="Century Gothic" w:hAnsi="Century Gothic"/>
                <w:sz w:val="22"/>
                <w:szCs w:val="22"/>
              </w:rPr>
              <w:t>LA DOCUMENTACION DEBE CONTENER COMO MINIMO LO SIGUEINTE……………………………………………………………………… 66</w:t>
            </w:r>
          </w:p>
          <w:p w14:paraId="3C89A613">
            <w:pPr>
              <w:pStyle w:val="65"/>
              <w:numPr>
                <w:ilvl w:val="2"/>
                <w:numId w:val="1"/>
              </w:numPr>
              <w:contextualSpacing/>
              <w:rPr>
                <w:rFonts w:ascii="Century Gothic" w:hAnsi="Century Gothic"/>
                <w:sz w:val="22"/>
                <w:szCs w:val="22"/>
              </w:rPr>
            </w:pPr>
            <w:r>
              <w:rPr>
                <w:rFonts w:ascii="Century Gothic" w:hAnsi="Century Gothic"/>
                <w:sz w:val="22"/>
                <w:szCs w:val="22"/>
              </w:rPr>
              <w:t>ESTRUCTURA ORGANIZACIONAL……………………………………………… 66</w:t>
            </w:r>
          </w:p>
          <w:p w14:paraId="07B4E998">
            <w:pPr>
              <w:pStyle w:val="65"/>
              <w:numPr>
                <w:ilvl w:val="3"/>
                <w:numId w:val="1"/>
              </w:numPr>
              <w:contextualSpacing/>
              <w:rPr>
                <w:rFonts w:ascii="Century Gothic" w:hAnsi="Century Gothic"/>
                <w:sz w:val="22"/>
                <w:szCs w:val="22"/>
              </w:rPr>
            </w:pPr>
            <w:r>
              <w:rPr>
                <w:rFonts w:ascii="Century Gothic" w:hAnsi="Century Gothic"/>
                <w:sz w:val="22"/>
                <w:szCs w:val="22"/>
              </w:rPr>
              <w:t>FUNCIONES Y RESPONSABILIDADES DE LOS MIEMBROS DE L CONSEJO DE ADMINISTRACIÓN ………………………………………………………. 67</w:t>
            </w:r>
          </w:p>
          <w:p w14:paraId="427212A8">
            <w:pPr>
              <w:pStyle w:val="65"/>
              <w:numPr>
                <w:ilvl w:val="3"/>
                <w:numId w:val="1"/>
              </w:numPr>
              <w:contextualSpacing/>
              <w:rPr>
                <w:rFonts w:ascii="Century Gothic" w:hAnsi="Century Gothic"/>
                <w:sz w:val="22"/>
                <w:szCs w:val="22"/>
              </w:rPr>
            </w:pPr>
            <w:r>
              <w:rPr>
                <w:rFonts w:ascii="Century Gothic" w:hAnsi="Century Gothic"/>
                <w:sz w:val="22"/>
                <w:szCs w:val="22"/>
              </w:rPr>
              <w:t>FUNCIONES Y RESPONSABILIDADES DEL REPRESENTANTE LEGAL O QUIEN HAGA SUS VECES…………………………………………………… 68</w:t>
            </w:r>
          </w:p>
          <w:p w14:paraId="2D4297D7">
            <w:pPr>
              <w:pStyle w:val="65"/>
              <w:numPr>
                <w:ilvl w:val="3"/>
                <w:numId w:val="1"/>
              </w:numPr>
              <w:contextualSpacing/>
              <w:rPr>
                <w:rFonts w:ascii="Century Gothic" w:hAnsi="Century Gothic"/>
                <w:sz w:val="22"/>
                <w:szCs w:val="22"/>
              </w:rPr>
            </w:pPr>
            <w:r>
              <w:rPr>
                <w:rFonts w:ascii="Century Gothic" w:hAnsi="Century Gothic"/>
                <w:sz w:val="22"/>
                <w:szCs w:val="22"/>
              </w:rPr>
              <w:t>REQUISITOS Y FUNCIONES DEL OFICIAL DE CUMPLIMIENTO…………. 68</w:t>
            </w:r>
          </w:p>
          <w:p w14:paraId="6EC7E0A7">
            <w:pPr>
              <w:pStyle w:val="65"/>
              <w:numPr>
                <w:ilvl w:val="3"/>
                <w:numId w:val="1"/>
              </w:numPr>
              <w:contextualSpacing/>
              <w:rPr>
                <w:rFonts w:ascii="Century Gothic" w:hAnsi="Century Gothic"/>
                <w:sz w:val="22"/>
                <w:szCs w:val="22"/>
              </w:rPr>
            </w:pPr>
            <w:r>
              <w:rPr>
                <w:rFonts w:ascii="Century Gothic" w:hAnsi="Century Gothic"/>
                <w:sz w:val="22"/>
                <w:szCs w:val="22"/>
              </w:rPr>
              <w:t>FUNCIONES GENERALES A CARGO DE LAS DIFERENTES ÁREAS QUE APOYAN A LA GERENCIA DE LA ENTIDAD Y AL OFICIAL DE CUMPLIMIENTO………………………………………………………………. 71</w:t>
            </w:r>
          </w:p>
          <w:p w14:paraId="050266CD">
            <w:pPr>
              <w:pStyle w:val="65"/>
              <w:numPr>
                <w:ilvl w:val="3"/>
                <w:numId w:val="1"/>
              </w:numPr>
              <w:contextualSpacing/>
              <w:rPr>
                <w:rFonts w:ascii="Century Gothic" w:hAnsi="Century Gothic"/>
                <w:sz w:val="22"/>
                <w:szCs w:val="22"/>
              </w:rPr>
            </w:pPr>
            <w:r>
              <w:rPr>
                <w:rFonts w:ascii="Century Gothic" w:hAnsi="Century Gothic"/>
                <w:sz w:val="22"/>
                <w:szCs w:val="22"/>
              </w:rPr>
              <w:t>ORGANIGRAMA DEL SARLAFT…………………………………………….  73</w:t>
            </w:r>
          </w:p>
          <w:p w14:paraId="482E6AF6">
            <w:pPr>
              <w:pStyle w:val="65"/>
              <w:numPr>
                <w:ilvl w:val="2"/>
                <w:numId w:val="1"/>
              </w:numPr>
              <w:contextualSpacing/>
              <w:rPr>
                <w:rFonts w:ascii="Century Gothic" w:hAnsi="Century Gothic"/>
                <w:sz w:val="22"/>
                <w:szCs w:val="22"/>
              </w:rPr>
            </w:pPr>
            <w:r>
              <w:rPr>
                <w:rFonts w:ascii="Century Gothic" w:hAnsi="Century Gothic"/>
                <w:sz w:val="22"/>
                <w:szCs w:val="22"/>
              </w:rPr>
              <w:t>ORGANOS DE CONTROL……………………………………………………….. 73</w:t>
            </w:r>
          </w:p>
          <w:p w14:paraId="37CA4AD1">
            <w:pPr>
              <w:pStyle w:val="65"/>
              <w:numPr>
                <w:ilvl w:val="3"/>
                <w:numId w:val="1"/>
              </w:numPr>
              <w:contextualSpacing/>
              <w:rPr>
                <w:rFonts w:ascii="Century Gothic" w:hAnsi="Century Gothic"/>
                <w:sz w:val="22"/>
                <w:szCs w:val="22"/>
              </w:rPr>
            </w:pPr>
            <w:r>
              <w:rPr>
                <w:rFonts w:ascii="Century Gothic" w:hAnsi="Century Gothic"/>
                <w:sz w:val="22"/>
                <w:szCs w:val="22"/>
              </w:rPr>
              <w:t>REVISORIA FISCAL …………………………………………………………… 74</w:t>
            </w:r>
          </w:p>
          <w:p w14:paraId="66A4F988">
            <w:pPr>
              <w:pStyle w:val="65"/>
              <w:numPr>
                <w:ilvl w:val="3"/>
                <w:numId w:val="1"/>
              </w:numPr>
              <w:contextualSpacing/>
              <w:rPr>
                <w:rFonts w:ascii="Century Gothic" w:hAnsi="Century Gothic"/>
                <w:sz w:val="22"/>
                <w:szCs w:val="22"/>
              </w:rPr>
            </w:pPr>
            <w:r>
              <w:rPr>
                <w:rFonts w:ascii="Century Gothic" w:hAnsi="Century Gothic"/>
                <w:sz w:val="22"/>
                <w:szCs w:val="22"/>
              </w:rPr>
              <w:t>AUDITORIA INTERNA ………………………………………………………… 74</w:t>
            </w:r>
          </w:p>
          <w:p w14:paraId="138E614A">
            <w:pPr>
              <w:pStyle w:val="65"/>
              <w:numPr>
                <w:ilvl w:val="2"/>
                <w:numId w:val="1"/>
              </w:numPr>
              <w:contextualSpacing/>
              <w:rPr>
                <w:rFonts w:ascii="Century Gothic" w:hAnsi="Century Gothic"/>
                <w:sz w:val="22"/>
                <w:szCs w:val="22"/>
              </w:rPr>
            </w:pPr>
            <w:r>
              <w:rPr>
                <w:rFonts w:ascii="Century Gothic" w:hAnsi="Century Gothic"/>
                <w:sz w:val="22"/>
                <w:szCs w:val="22"/>
              </w:rPr>
              <w:t>INFRAESTRUCTURA TECNOLÓGICA…………………………………………… 75</w:t>
            </w:r>
          </w:p>
          <w:p w14:paraId="583709AE">
            <w:pPr>
              <w:pStyle w:val="65"/>
              <w:numPr>
                <w:ilvl w:val="2"/>
                <w:numId w:val="1"/>
              </w:numPr>
              <w:contextualSpacing/>
              <w:rPr>
                <w:rFonts w:ascii="Century Gothic" w:hAnsi="Century Gothic"/>
                <w:sz w:val="22"/>
                <w:szCs w:val="22"/>
              </w:rPr>
            </w:pPr>
            <w:r>
              <w:rPr>
                <w:rFonts w:ascii="Century Gothic" w:hAnsi="Century Gothic"/>
                <w:sz w:val="22"/>
                <w:szCs w:val="22"/>
              </w:rPr>
              <w:t>DIVULGACIÓN DE LA INFORMACIÓN………………………………………... 76</w:t>
            </w:r>
          </w:p>
          <w:p w14:paraId="527B4215">
            <w:pPr>
              <w:pStyle w:val="65"/>
              <w:numPr>
                <w:ilvl w:val="3"/>
                <w:numId w:val="1"/>
              </w:numPr>
              <w:contextualSpacing/>
              <w:rPr>
                <w:rFonts w:ascii="Century Gothic" w:hAnsi="Century Gothic"/>
                <w:sz w:val="22"/>
                <w:szCs w:val="22"/>
              </w:rPr>
            </w:pPr>
            <w:r>
              <w:rPr>
                <w:rFonts w:ascii="Century Gothic" w:hAnsi="Century Gothic"/>
                <w:sz w:val="22"/>
                <w:szCs w:val="22"/>
              </w:rPr>
              <w:t>REPORTES INTERNOS………………………………………………………     76</w:t>
            </w:r>
          </w:p>
          <w:p w14:paraId="5DA312B8">
            <w:pPr>
              <w:pStyle w:val="65"/>
              <w:numPr>
                <w:ilvl w:val="3"/>
                <w:numId w:val="1"/>
              </w:numPr>
              <w:contextualSpacing/>
              <w:rPr>
                <w:rFonts w:ascii="Century Gothic" w:hAnsi="Century Gothic"/>
                <w:sz w:val="22"/>
                <w:szCs w:val="22"/>
              </w:rPr>
            </w:pPr>
            <w:r>
              <w:rPr>
                <w:rFonts w:ascii="Century Gothic" w:hAnsi="Century Gothic"/>
                <w:sz w:val="22"/>
                <w:szCs w:val="22"/>
              </w:rPr>
              <w:t>REPORTES EXTERNOS………………………………………………………..   78</w:t>
            </w:r>
          </w:p>
          <w:p w14:paraId="5411F6AF">
            <w:pPr>
              <w:pStyle w:val="65"/>
              <w:numPr>
                <w:ilvl w:val="2"/>
                <w:numId w:val="1"/>
              </w:numPr>
              <w:contextualSpacing/>
              <w:rPr>
                <w:rFonts w:ascii="Century Gothic" w:hAnsi="Century Gothic"/>
                <w:sz w:val="22"/>
                <w:szCs w:val="22"/>
              </w:rPr>
            </w:pPr>
            <w:r>
              <w:rPr>
                <w:rFonts w:ascii="Century Gothic" w:hAnsi="Century Gothic"/>
                <w:sz w:val="22"/>
                <w:szCs w:val="22"/>
              </w:rPr>
              <w:t>CAPACITACIÓN………………………………………………………………….   81</w:t>
            </w:r>
          </w:p>
          <w:p w14:paraId="01EE89AE">
            <w:pPr>
              <w:pStyle w:val="65"/>
              <w:numPr>
                <w:ilvl w:val="0"/>
                <w:numId w:val="1"/>
              </w:numPr>
              <w:contextualSpacing/>
              <w:rPr>
                <w:rFonts w:ascii="Century Gothic" w:hAnsi="Century Gothic"/>
                <w:sz w:val="22"/>
                <w:szCs w:val="22"/>
              </w:rPr>
            </w:pPr>
            <w:r>
              <w:rPr>
                <w:rFonts w:ascii="Century Gothic" w:hAnsi="Century Gothic"/>
                <w:sz w:val="22"/>
                <w:szCs w:val="22"/>
              </w:rPr>
              <w:t>TIPOLOGIAS DE RIESGOS QUE PUEDE PRESENTARSE EN LA ENTIDAD…….….  83</w:t>
            </w:r>
          </w:p>
          <w:p w14:paraId="3BBD6556">
            <w:pPr>
              <w:pStyle w:val="65"/>
              <w:numPr>
                <w:ilvl w:val="0"/>
                <w:numId w:val="1"/>
              </w:numPr>
              <w:contextualSpacing/>
              <w:rPr>
                <w:rFonts w:ascii="Century Gothic" w:hAnsi="Century Gothic"/>
                <w:sz w:val="22"/>
                <w:szCs w:val="22"/>
              </w:rPr>
            </w:pPr>
            <w:r>
              <w:rPr>
                <w:rFonts w:ascii="Century Gothic" w:hAnsi="Century Gothic"/>
                <w:sz w:val="22"/>
                <w:szCs w:val="22"/>
              </w:rPr>
              <w:t>CÓDIGO DE ETICA Y CONDUCTA…………………………………………………. 84</w:t>
            </w:r>
          </w:p>
          <w:p w14:paraId="03DB07CC">
            <w:pPr>
              <w:pStyle w:val="65"/>
              <w:numPr>
                <w:ilvl w:val="1"/>
                <w:numId w:val="1"/>
              </w:numPr>
              <w:contextualSpacing/>
              <w:rPr>
                <w:rFonts w:ascii="Century Gothic" w:hAnsi="Century Gothic"/>
                <w:sz w:val="22"/>
                <w:szCs w:val="22"/>
              </w:rPr>
            </w:pPr>
            <w:r>
              <w:rPr>
                <w:rFonts w:ascii="Century Gothic" w:hAnsi="Century Gothic"/>
                <w:sz w:val="22"/>
                <w:szCs w:val="22"/>
              </w:rPr>
              <w:t>DE LOS OBJETIVOS………………………………………………………………...84</w:t>
            </w:r>
          </w:p>
          <w:p w14:paraId="4DD0F85F">
            <w:pPr>
              <w:pStyle w:val="65"/>
              <w:numPr>
                <w:ilvl w:val="1"/>
                <w:numId w:val="1"/>
              </w:numPr>
              <w:contextualSpacing/>
              <w:rPr>
                <w:rFonts w:ascii="Century Gothic" w:hAnsi="Century Gothic"/>
                <w:sz w:val="22"/>
                <w:szCs w:val="22"/>
              </w:rPr>
            </w:pPr>
            <w:r>
              <w:rPr>
                <w:rFonts w:ascii="Century Gothic" w:hAnsi="Century Gothic"/>
                <w:sz w:val="22"/>
                <w:szCs w:val="22"/>
              </w:rPr>
              <w:t>JUSTIFICACIÓN……………………………………………………………………. 85</w:t>
            </w:r>
          </w:p>
          <w:p w14:paraId="7C149F77">
            <w:pPr>
              <w:pStyle w:val="65"/>
              <w:numPr>
                <w:ilvl w:val="1"/>
                <w:numId w:val="1"/>
              </w:numPr>
              <w:contextualSpacing/>
              <w:rPr>
                <w:rFonts w:ascii="Century Gothic" w:hAnsi="Century Gothic"/>
                <w:sz w:val="22"/>
                <w:szCs w:val="22"/>
              </w:rPr>
            </w:pPr>
            <w:r>
              <w:rPr>
                <w:rFonts w:ascii="Century Gothic" w:hAnsi="Century Gothic"/>
                <w:sz w:val="22"/>
                <w:szCs w:val="22"/>
              </w:rPr>
              <w:t>ALCANCE………………………………………………………………………….. 85</w:t>
            </w:r>
          </w:p>
          <w:p w14:paraId="3E367FC8">
            <w:pPr>
              <w:pStyle w:val="65"/>
              <w:numPr>
                <w:ilvl w:val="1"/>
                <w:numId w:val="1"/>
              </w:numPr>
              <w:contextualSpacing/>
              <w:rPr>
                <w:rFonts w:ascii="Century Gothic" w:hAnsi="Century Gothic"/>
                <w:sz w:val="22"/>
                <w:szCs w:val="22"/>
              </w:rPr>
            </w:pPr>
            <w:r>
              <w:rPr>
                <w:rFonts w:ascii="Century Gothic" w:hAnsi="Century Gothic"/>
                <w:sz w:val="22"/>
                <w:szCs w:val="22"/>
              </w:rPr>
              <w:t>PRINCIPIOS ÉTICOS O NORMAS DE CONDUCTA…………………………… 85</w:t>
            </w:r>
          </w:p>
          <w:p w14:paraId="2B4BAED7">
            <w:pPr>
              <w:pStyle w:val="65"/>
              <w:numPr>
                <w:ilvl w:val="1"/>
                <w:numId w:val="1"/>
              </w:numPr>
              <w:contextualSpacing/>
              <w:rPr>
                <w:rFonts w:ascii="Century Gothic" w:hAnsi="Century Gothic"/>
                <w:sz w:val="22"/>
                <w:szCs w:val="22"/>
              </w:rPr>
            </w:pPr>
            <w:r>
              <w:rPr>
                <w:rFonts w:ascii="Century Gothic" w:hAnsi="Century Gothic"/>
                <w:sz w:val="22"/>
                <w:szCs w:val="22"/>
              </w:rPr>
              <w:t>INFORMACIÓN PRIVILEGIADA E INFORMACIÓN RESERVADA…………… 85</w:t>
            </w:r>
          </w:p>
          <w:p w14:paraId="42E47D12">
            <w:pPr>
              <w:pStyle w:val="65"/>
              <w:numPr>
                <w:ilvl w:val="1"/>
                <w:numId w:val="1"/>
              </w:numPr>
              <w:contextualSpacing/>
              <w:rPr>
                <w:rFonts w:ascii="Century Gothic" w:hAnsi="Century Gothic"/>
                <w:sz w:val="22"/>
                <w:szCs w:val="22"/>
              </w:rPr>
            </w:pPr>
            <w:r>
              <w:rPr>
                <w:rFonts w:ascii="Century Gothic" w:hAnsi="Century Gothic"/>
                <w:sz w:val="22"/>
                <w:szCs w:val="22"/>
              </w:rPr>
              <w:t>CONSIDERACIONES GENERALES Y REGLAMENTACIÓN ……...……………86</w:t>
            </w:r>
          </w:p>
          <w:p w14:paraId="755B37FF">
            <w:pPr>
              <w:pStyle w:val="65"/>
              <w:numPr>
                <w:ilvl w:val="1"/>
                <w:numId w:val="1"/>
              </w:numPr>
              <w:contextualSpacing/>
              <w:rPr>
                <w:rFonts w:ascii="Century Gothic" w:hAnsi="Century Gothic"/>
                <w:sz w:val="22"/>
                <w:szCs w:val="22"/>
              </w:rPr>
            </w:pPr>
            <w:r>
              <w:rPr>
                <w:rFonts w:ascii="Century Gothic" w:hAnsi="Century Gothic"/>
                <w:sz w:val="22"/>
                <w:szCs w:val="22"/>
              </w:rPr>
              <w:t>ESTRICTA APLICACIÓN DE LAS NORMAS LEGALES E INTERNAS………….. 87</w:t>
            </w:r>
          </w:p>
          <w:p w14:paraId="606A9096">
            <w:pPr>
              <w:pStyle w:val="65"/>
              <w:numPr>
                <w:ilvl w:val="1"/>
                <w:numId w:val="1"/>
              </w:numPr>
              <w:contextualSpacing/>
              <w:rPr>
                <w:rFonts w:ascii="Century Gothic" w:hAnsi="Century Gothic"/>
                <w:sz w:val="22"/>
                <w:szCs w:val="22"/>
              </w:rPr>
            </w:pPr>
            <w:r>
              <w:rPr>
                <w:rFonts w:ascii="Century Gothic" w:hAnsi="Century Gothic"/>
                <w:sz w:val="22"/>
                <w:szCs w:val="22"/>
              </w:rPr>
              <w:t>PRINCIPIOS GENERALES…………………………………………………………. 87</w:t>
            </w:r>
          </w:p>
          <w:p w14:paraId="696C8E33">
            <w:pPr>
              <w:pStyle w:val="65"/>
              <w:numPr>
                <w:ilvl w:val="1"/>
                <w:numId w:val="1"/>
              </w:numPr>
              <w:contextualSpacing/>
              <w:rPr>
                <w:rFonts w:ascii="Century Gothic" w:hAnsi="Century Gothic"/>
                <w:sz w:val="22"/>
                <w:szCs w:val="22"/>
              </w:rPr>
            </w:pPr>
            <w:r>
              <w:rPr>
                <w:rFonts w:ascii="Century Gothic" w:hAnsi="Century Gothic"/>
                <w:sz w:val="22"/>
                <w:szCs w:val="22"/>
              </w:rPr>
              <w:t>PAUTAS DE COMPORTAMIENTO……………………………………………….. 88</w:t>
            </w:r>
          </w:p>
          <w:p w14:paraId="1BF59C74">
            <w:pPr>
              <w:pStyle w:val="65"/>
              <w:numPr>
                <w:ilvl w:val="1"/>
                <w:numId w:val="1"/>
              </w:numPr>
              <w:contextualSpacing/>
              <w:rPr>
                <w:rFonts w:ascii="Century Gothic" w:hAnsi="Century Gothic"/>
                <w:sz w:val="22"/>
                <w:szCs w:val="22"/>
              </w:rPr>
            </w:pPr>
            <w:r>
              <w:rPr>
                <w:rFonts w:ascii="Century Gothic" w:hAnsi="Century Gothic"/>
                <w:sz w:val="22"/>
                <w:szCs w:val="22"/>
              </w:rPr>
              <w:t>DISPOSICIONES PARTICULARES ………………………………………………... 91</w:t>
            </w:r>
          </w:p>
          <w:p w14:paraId="5D732704">
            <w:pPr>
              <w:pStyle w:val="65"/>
              <w:numPr>
                <w:ilvl w:val="1"/>
                <w:numId w:val="1"/>
              </w:numPr>
              <w:contextualSpacing/>
              <w:rPr>
                <w:rFonts w:ascii="Century Gothic" w:hAnsi="Century Gothic"/>
                <w:sz w:val="22"/>
                <w:szCs w:val="22"/>
              </w:rPr>
            </w:pPr>
            <w:r>
              <w:rPr>
                <w:rFonts w:ascii="Century Gothic" w:hAnsi="Century Gothic"/>
                <w:sz w:val="22"/>
                <w:szCs w:val="22"/>
              </w:rPr>
              <w:t>PREVENCIÓN Y MANEJO DE CONFLICTOS DE INTERES……………………..92</w:t>
            </w:r>
          </w:p>
          <w:p w14:paraId="6F2DBDC1">
            <w:pPr>
              <w:pStyle w:val="65"/>
              <w:numPr>
                <w:ilvl w:val="1"/>
                <w:numId w:val="1"/>
              </w:numPr>
              <w:contextualSpacing/>
              <w:rPr>
                <w:rFonts w:ascii="Century Gothic" w:hAnsi="Century Gothic"/>
                <w:sz w:val="22"/>
                <w:szCs w:val="22"/>
              </w:rPr>
            </w:pPr>
            <w:r>
              <w:rPr>
                <w:rFonts w:ascii="Century Gothic" w:hAnsi="Century Gothic"/>
                <w:sz w:val="22"/>
                <w:szCs w:val="22"/>
              </w:rPr>
              <w:t>DEL SISTEMA DE AMINISTRACIÓN DE RIESGOS DE LAVADO DE ACTIVOS Y FINANCIACIÓN DEL TERRORISMO – SARLAFT ………………………………..95</w:t>
            </w:r>
          </w:p>
          <w:p w14:paraId="04B54F38">
            <w:pPr>
              <w:pStyle w:val="65"/>
              <w:numPr>
                <w:ilvl w:val="1"/>
                <w:numId w:val="1"/>
              </w:numPr>
              <w:contextualSpacing/>
              <w:rPr>
                <w:rFonts w:ascii="Century Gothic" w:hAnsi="Century Gothic"/>
                <w:sz w:val="22"/>
                <w:szCs w:val="22"/>
              </w:rPr>
            </w:pPr>
            <w:r>
              <w:rPr>
                <w:rFonts w:ascii="Century Gothic" w:hAnsi="Century Gothic"/>
                <w:sz w:val="22"/>
                <w:szCs w:val="22"/>
              </w:rPr>
              <w:t>PROHIBICIONES…………………………………………………………………….96</w:t>
            </w:r>
          </w:p>
          <w:p w14:paraId="77A389D4">
            <w:pPr>
              <w:pStyle w:val="65"/>
              <w:numPr>
                <w:ilvl w:val="1"/>
                <w:numId w:val="1"/>
              </w:numPr>
              <w:contextualSpacing/>
              <w:rPr>
                <w:rFonts w:ascii="Century Gothic" w:hAnsi="Century Gothic"/>
                <w:sz w:val="22"/>
                <w:szCs w:val="22"/>
              </w:rPr>
            </w:pPr>
            <w:r>
              <w:rPr>
                <w:rFonts w:ascii="Century Gothic" w:hAnsi="Century Gothic"/>
                <w:sz w:val="22"/>
                <w:szCs w:val="22"/>
              </w:rPr>
              <w:t>DE LAS SANCIONES ADMINSITRATIVAS ……………………………………….. 98</w:t>
            </w:r>
          </w:p>
          <w:p w14:paraId="7E88A293">
            <w:pPr>
              <w:pStyle w:val="65"/>
              <w:numPr>
                <w:ilvl w:val="1"/>
                <w:numId w:val="1"/>
              </w:numPr>
              <w:contextualSpacing/>
              <w:rPr>
                <w:rFonts w:ascii="Century Gothic" w:hAnsi="Century Gothic"/>
                <w:sz w:val="22"/>
                <w:szCs w:val="22"/>
              </w:rPr>
            </w:pPr>
            <w:r>
              <w:rPr>
                <w:rFonts w:ascii="Century Gothic" w:hAnsi="Century Gothic"/>
                <w:sz w:val="22"/>
                <w:szCs w:val="22"/>
              </w:rPr>
              <w:t>PUBLICACIÓN Y CONOCIMIENTO DEL CÓDIGO DE ÉTICA……………….100</w:t>
            </w:r>
          </w:p>
          <w:p w14:paraId="16ED4F57">
            <w:pPr>
              <w:pStyle w:val="65"/>
              <w:numPr>
                <w:ilvl w:val="0"/>
                <w:numId w:val="1"/>
              </w:numPr>
              <w:contextualSpacing/>
              <w:rPr>
                <w:rFonts w:ascii="Century Gothic" w:hAnsi="Century Gothic"/>
                <w:sz w:val="22"/>
                <w:szCs w:val="22"/>
              </w:rPr>
            </w:pPr>
            <w:r>
              <w:rPr>
                <w:rFonts w:ascii="Century Gothic" w:hAnsi="Century Gothic"/>
                <w:sz w:val="22"/>
                <w:szCs w:val="22"/>
              </w:rPr>
              <w:t>SANCIONES…………………………………………………………………………….101</w:t>
            </w:r>
          </w:p>
          <w:p w14:paraId="29096AD7">
            <w:pPr>
              <w:pStyle w:val="65"/>
              <w:numPr>
                <w:ilvl w:val="0"/>
                <w:numId w:val="1"/>
              </w:numPr>
              <w:contextualSpacing/>
              <w:rPr>
                <w:rFonts w:ascii="Century Gothic" w:hAnsi="Century Gothic"/>
                <w:sz w:val="22"/>
                <w:szCs w:val="22"/>
              </w:rPr>
            </w:pPr>
            <w:r>
              <w:rPr>
                <w:rFonts w:ascii="Century Gothic" w:hAnsi="Century Gothic"/>
                <w:sz w:val="22"/>
                <w:szCs w:val="22"/>
              </w:rPr>
              <w:t>PRÁCTICA INSEGURA……………………………………………………………...    104</w:t>
            </w:r>
          </w:p>
          <w:p w14:paraId="024363E2">
            <w:pPr>
              <w:pStyle w:val="65"/>
              <w:numPr>
                <w:ilvl w:val="0"/>
                <w:numId w:val="1"/>
              </w:numPr>
              <w:contextualSpacing/>
              <w:rPr>
                <w:rFonts w:ascii="Century Gothic" w:hAnsi="Century Gothic"/>
                <w:sz w:val="22"/>
                <w:szCs w:val="22"/>
              </w:rPr>
            </w:pPr>
            <w:r>
              <w:rPr>
                <w:rFonts w:ascii="Century Gothic" w:hAnsi="Century Gothic"/>
                <w:sz w:val="22"/>
                <w:szCs w:val="22"/>
              </w:rPr>
              <w:t>ANEXOS ………………………………………………………………………………. 105</w:t>
            </w:r>
          </w:p>
          <w:p w14:paraId="1F35D861">
            <w:pPr>
              <w:pStyle w:val="65"/>
              <w:numPr>
                <w:ilvl w:val="1"/>
                <w:numId w:val="1"/>
              </w:numPr>
              <w:contextualSpacing/>
              <w:rPr>
                <w:rFonts w:ascii="Century Gothic" w:hAnsi="Century Gothic"/>
                <w:sz w:val="22"/>
                <w:szCs w:val="22"/>
              </w:rPr>
            </w:pPr>
            <w:r>
              <w:rPr>
                <w:rFonts w:ascii="Century Gothic" w:hAnsi="Century Gothic"/>
                <w:sz w:val="22"/>
                <w:szCs w:val="22"/>
              </w:rPr>
              <w:t>FORMATOS PARA CONTRARRESTAR EL LA/FT ……………………………….105</w:t>
            </w:r>
          </w:p>
          <w:p w14:paraId="6954705A">
            <w:pPr>
              <w:pStyle w:val="65"/>
              <w:numPr>
                <w:ilvl w:val="0"/>
                <w:numId w:val="1"/>
              </w:numPr>
              <w:contextualSpacing/>
              <w:rPr>
                <w:rFonts w:ascii="Century Gothic" w:hAnsi="Century Gothic"/>
                <w:sz w:val="22"/>
                <w:szCs w:val="22"/>
              </w:rPr>
            </w:pPr>
            <w:r>
              <w:rPr>
                <w:rFonts w:ascii="Century Gothic" w:hAnsi="Century Gothic"/>
                <w:sz w:val="22"/>
                <w:szCs w:val="22"/>
              </w:rPr>
              <w:t>APROBACIÓN Y VIGENCIA……………………………………………………….   120</w:t>
            </w:r>
          </w:p>
          <w:p w14:paraId="67671A03">
            <w:pPr>
              <w:rPr>
                <w:rFonts w:ascii="Century Gothic" w:hAnsi="Century Gothic"/>
                <w:lang w:val="es-ES"/>
              </w:rPr>
            </w:pPr>
          </w:p>
          <w:p w14:paraId="795DE5D0">
            <w:pPr>
              <w:rPr>
                <w:rFonts w:ascii="Century Gothic" w:hAnsi="Century Gothic"/>
                <w:lang w:val="es-ES"/>
              </w:rPr>
            </w:pPr>
          </w:p>
          <w:p w14:paraId="22465F04">
            <w:pPr>
              <w:rPr>
                <w:rFonts w:ascii="Century Gothic" w:hAnsi="Century Gothic"/>
                <w:lang w:val="es-ES"/>
              </w:rPr>
            </w:pPr>
          </w:p>
          <w:p w14:paraId="00B7D913">
            <w:pPr>
              <w:rPr>
                <w:rFonts w:ascii="Century Gothic" w:hAnsi="Century Gothic"/>
                <w:lang w:val="es-ES"/>
              </w:rPr>
            </w:pPr>
          </w:p>
        </w:tc>
      </w:tr>
    </w:tbl>
    <w:p w14:paraId="2996B325">
      <w:pPr>
        <w:rPr>
          <w:rFonts w:ascii="Century Gothic" w:hAnsi="Century Gothic"/>
          <w:sz w:val="22"/>
          <w:szCs w:val="22"/>
          <w:lang w:val="es-ES"/>
        </w:rPr>
      </w:pPr>
    </w:p>
    <w:p w14:paraId="15636B89">
      <w:pPr>
        <w:rPr>
          <w:rFonts w:ascii="Century Gothic" w:hAnsi="Century Gothic"/>
          <w:sz w:val="22"/>
          <w:szCs w:val="22"/>
          <w:lang w:val="es-ES"/>
        </w:rPr>
      </w:pPr>
    </w:p>
    <w:p w14:paraId="22211920">
      <w:pPr>
        <w:rPr>
          <w:rFonts w:ascii="Century Gothic" w:hAnsi="Century Gothic"/>
          <w:sz w:val="22"/>
          <w:szCs w:val="22"/>
          <w:lang w:val="es-ES"/>
        </w:rPr>
      </w:pPr>
    </w:p>
    <w:p w14:paraId="6ACD967F">
      <w:pPr>
        <w:rPr>
          <w:rFonts w:ascii="Century Gothic" w:hAnsi="Century Gothic"/>
          <w:sz w:val="22"/>
          <w:szCs w:val="22"/>
          <w:lang w:val="es-ES"/>
        </w:rPr>
      </w:pPr>
    </w:p>
    <w:p w14:paraId="6C1376FA">
      <w:pPr>
        <w:rPr>
          <w:rFonts w:ascii="Century Gothic" w:hAnsi="Century Gothic"/>
          <w:sz w:val="22"/>
          <w:szCs w:val="22"/>
          <w:lang w:val="es-ES"/>
        </w:rPr>
      </w:pPr>
    </w:p>
    <w:p w14:paraId="41629F12">
      <w:pPr>
        <w:pStyle w:val="2"/>
        <w:ind w:left="708" w:hanging="708"/>
        <w:jc w:val="center"/>
        <w:rPr>
          <w:rFonts w:ascii="Century Gothic" w:hAnsi="Century Gothic"/>
          <w:sz w:val="22"/>
          <w:szCs w:val="22"/>
          <w:lang w:val="es-ES"/>
        </w:rPr>
      </w:pPr>
      <w:r>
        <w:rPr>
          <w:rFonts w:ascii="Century Gothic" w:hAnsi="Century Gothic"/>
          <w:sz w:val="22"/>
          <w:szCs w:val="22"/>
          <w:lang w:val="es-ES"/>
        </w:rPr>
        <w:t>INTRODUCCIÓN</w:t>
      </w:r>
    </w:p>
    <w:p w14:paraId="39F93568">
      <w:pPr>
        <w:rPr>
          <w:lang w:val="es-ES"/>
        </w:rPr>
      </w:pPr>
    </w:p>
    <w:p w14:paraId="7F7D3CCB">
      <w:pPr>
        <w:autoSpaceDE w:val="0"/>
        <w:autoSpaceDN w:val="0"/>
        <w:adjustRightInd w:val="0"/>
        <w:spacing w:after="160" w:line="221" w:lineRule="atLeast"/>
        <w:rPr>
          <w:rFonts w:ascii="Century Gothic" w:hAnsi="Century Gothic" w:cs="ITC Franklin Gothic Std Book" w:eastAsiaTheme="minorHAnsi"/>
          <w:color w:val="000000"/>
          <w:sz w:val="22"/>
          <w:szCs w:val="22"/>
          <w:lang w:eastAsia="en-US"/>
        </w:rPr>
      </w:pPr>
      <w:r>
        <w:rPr>
          <w:rFonts w:ascii="Century Gothic" w:hAnsi="Century Gothic" w:cs="Arial"/>
          <w:sz w:val="22"/>
          <w:szCs w:val="22"/>
          <w:lang w:val="es-ES"/>
        </w:rPr>
        <w:t>LA COOPERATIVA DE AMIGOS Y VECINOS DE CALLEJONA LTDA. “COOPCALLEJOA LTDA”</w:t>
      </w:r>
      <w:r>
        <w:rPr>
          <w:rFonts w:ascii="Century Gothic" w:hAnsi="Century Gothic" w:cs="ITC Franklin Gothic Std Book" w:eastAsiaTheme="minorHAnsi"/>
          <w:color w:val="000000"/>
          <w:sz w:val="22"/>
          <w:szCs w:val="22"/>
          <w:lang w:eastAsia="en-US"/>
        </w:rPr>
        <w:t xml:space="preserve">, gestiona y administra el riesgo de lavado de activos y financiación del terrorismo (LA/FT) al que se expone con base en los estándares de carácter nacional e internacional, adoptando su Sistema de Administración de Riesgo de Lavado de Activos y Financiación del Terrorismo (SARLAFT) a través del presente </w:t>
      </w:r>
      <w:r>
        <w:rPr>
          <w:rFonts w:ascii="Century Gothic" w:hAnsi="Century Gothic" w:cs="ITC Franklin Gothic Std Book" w:eastAsiaTheme="minorHAnsi"/>
          <w:bCs/>
          <w:color w:val="000000"/>
          <w:sz w:val="22"/>
          <w:szCs w:val="22"/>
          <w:lang w:eastAsia="en-US"/>
        </w:rPr>
        <w:t>Manual.</w:t>
      </w:r>
    </w:p>
    <w:p w14:paraId="02922DF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r>
        <w:rPr>
          <w:rFonts w:ascii="Century Gothic" w:hAnsi="Century Gothic" w:cs="Arial"/>
          <w:sz w:val="22"/>
          <w:szCs w:val="22"/>
          <w:lang w:val="es-ES"/>
        </w:rPr>
        <w:t xml:space="preserve">Por lo anterior </w:t>
      </w:r>
      <w:r>
        <w:rPr>
          <w:rFonts w:ascii="Century Gothic" w:hAnsi="Century Gothic" w:cs="ITC Franklin Gothic Std Book" w:eastAsiaTheme="minorHAnsi"/>
          <w:color w:val="000000"/>
          <w:sz w:val="22"/>
          <w:szCs w:val="22"/>
          <w:lang w:eastAsia="en-US"/>
        </w:rPr>
        <w:t>COOPCALLEJONA LTDA</w:t>
      </w:r>
      <w:r>
        <w:rPr>
          <w:rFonts w:ascii="Century Gothic" w:hAnsi="Century Gothic" w:cs="Arial"/>
          <w:sz w:val="22"/>
          <w:szCs w:val="22"/>
          <w:lang w:val="es-ES"/>
        </w:rPr>
        <w:t xml:space="preserve">, acata las instrucciones dadas por la Superintendencia de Economía Solidaria, las cuales están relacionadas con la adopción del Sistema de Administración del Riesgo de Lavado de Activos y Financiación del Terrorismo - SARLAFT conforme con las últimas actualizaciones de las recomendaciones internacionales emitidas por el Grupo de Acción Financiera Internacional (GAFI por sus siglas en español) dentro de las cuales se destaca el enfoque basado en riesgos. </w:t>
      </w:r>
    </w:p>
    <w:p w14:paraId="3CFAE84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00AE9DF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r>
        <w:rPr>
          <w:rFonts w:ascii="Century Gothic" w:hAnsi="Century Gothic" w:cs="Arial"/>
          <w:sz w:val="22"/>
          <w:szCs w:val="22"/>
          <w:lang w:val="es-ES"/>
        </w:rPr>
        <w:t>Adicionalmente la recomendación 8 del Grupo de Acción Financiera Internacional - GAFI, ratificó que las entidades sin ánimo de lucro podrían ser consideradas como vulnerables en el abuso para la financiación del terrorismo y en esa medida, por lo cual se deben valorar y establecer medidas focalizadas y proporcionales, en línea con el enfoque basado en riesgo, identificado y medido tanto en las actividades propias y con alcance inclusive para relaciones con terceros.</w:t>
      </w:r>
    </w:p>
    <w:p w14:paraId="45EE6B2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6691F5B6">
      <w:pPr>
        <w:rPr>
          <w:rFonts w:ascii="Century Gothic" w:hAnsi="Century Gothic" w:cs="Arial"/>
          <w:sz w:val="22"/>
          <w:szCs w:val="22"/>
          <w:lang w:val="es-MX"/>
        </w:rPr>
      </w:pPr>
      <w:r>
        <w:rPr>
          <w:rFonts w:ascii="Century Gothic" w:hAnsi="Century Gothic" w:cs="Arial"/>
          <w:sz w:val="22"/>
          <w:szCs w:val="22"/>
          <w:lang w:val="es-ES"/>
        </w:rPr>
        <w:t xml:space="preserve">Por consiguiente </w:t>
      </w:r>
      <w:r>
        <w:rPr>
          <w:rFonts w:ascii="Century Gothic" w:hAnsi="Century Gothic" w:cs="ITC Franklin Gothic Std Book" w:eastAsiaTheme="minorHAnsi"/>
          <w:color w:val="000000"/>
          <w:sz w:val="22"/>
          <w:szCs w:val="22"/>
          <w:lang w:eastAsia="en-US"/>
        </w:rPr>
        <w:t>COOPCALLEJONA LTDA</w:t>
      </w:r>
      <w:r>
        <w:rPr>
          <w:rFonts w:ascii="Century Gothic" w:hAnsi="Century Gothic" w:cs="Arial"/>
          <w:sz w:val="22"/>
          <w:szCs w:val="22"/>
          <w:lang w:val="es-ES"/>
        </w:rPr>
        <w:t xml:space="preserve"> establece mediante el presente Manual el Sistema de Administración del Riesgo de lavado de Activos y Financiación del Terrorismo – SARLAFT, el cual </w:t>
      </w:r>
      <w:r>
        <w:rPr>
          <w:rFonts w:ascii="Century Gothic" w:hAnsi="Century Gothic" w:cs="Arial"/>
          <w:sz w:val="22"/>
          <w:szCs w:val="22"/>
          <w:lang w:val="es-MX"/>
        </w:rPr>
        <w:t>incluye las políticas, los procedimientos, metodologías y mecanismos para la detección de operaciones inusuales y sospechosas y las acciones a seguir, a fin de evitar que la Entidad sea utilizada para el lavado de activos y el manejo de dineros para la financiación de actividades terroristas.</w:t>
      </w:r>
    </w:p>
    <w:p w14:paraId="088C290D">
      <w:pPr>
        <w:rPr>
          <w:rFonts w:ascii="Century Gothic" w:hAnsi="Century Gothic" w:cs="Arial"/>
          <w:sz w:val="22"/>
          <w:szCs w:val="22"/>
          <w:lang w:val="es-MX"/>
        </w:rPr>
      </w:pPr>
    </w:p>
    <w:p w14:paraId="040F9AB6">
      <w:pPr>
        <w:rPr>
          <w:rFonts w:ascii="Century Gothic" w:hAnsi="Century Gothic" w:cs="Arial"/>
          <w:sz w:val="22"/>
          <w:szCs w:val="22"/>
          <w:lang w:val="es-MX"/>
        </w:rPr>
      </w:pPr>
      <w:r>
        <w:rPr>
          <w:rFonts w:ascii="Century Gothic" w:hAnsi="Century Gothic" w:cs="Arial"/>
          <w:sz w:val="22"/>
          <w:szCs w:val="22"/>
          <w:lang w:val="es-MX"/>
        </w:rPr>
        <w:t xml:space="preserve">El SARLAFT que implemente </w:t>
      </w:r>
      <w:r>
        <w:rPr>
          <w:rFonts w:ascii="Century Gothic" w:hAnsi="Century Gothic" w:cs="ITC Franklin Gothic Std Book" w:eastAsiaTheme="minorHAnsi"/>
          <w:color w:val="000000"/>
          <w:sz w:val="22"/>
          <w:szCs w:val="22"/>
          <w:lang w:eastAsia="en-US"/>
        </w:rPr>
        <w:t>COOPCALLEJONA LTDA</w:t>
      </w:r>
      <w:r>
        <w:rPr>
          <w:rFonts w:ascii="Century Gothic" w:hAnsi="Century Gothic" w:cs="Arial"/>
          <w:sz w:val="22"/>
          <w:szCs w:val="22"/>
          <w:lang w:val="es-MX"/>
        </w:rPr>
        <w:t xml:space="preserve"> en desarrollo de lo dispuesto en las presentes instrucciones atiende a la naturaleza, objeto social y demás características particulares de la entidad.</w:t>
      </w:r>
    </w:p>
    <w:p w14:paraId="65AEFA6D">
      <w:pPr>
        <w:rPr>
          <w:rFonts w:ascii="Century Gothic" w:hAnsi="Century Gothic" w:cs="Arial"/>
          <w:sz w:val="22"/>
          <w:szCs w:val="22"/>
          <w:lang w:val="es-MX"/>
        </w:rPr>
      </w:pPr>
    </w:p>
    <w:p w14:paraId="04CA1E4A">
      <w:pPr>
        <w:rPr>
          <w:rFonts w:ascii="Century Gothic" w:hAnsi="Century Gothic" w:cs="Arial"/>
          <w:sz w:val="22"/>
          <w:szCs w:val="22"/>
          <w:lang w:val="es-MX"/>
        </w:rPr>
      </w:pPr>
      <w:r>
        <w:rPr>
          <w:rFonts w:ascii="Century Gothic" w:hAnsi="Century Gothic" w:cs="Arial"/>
          <w:sz w:val="22"/>
          <w:szCs w:val="22"/>
          <w:lang w:val="es-MX"/>
        </w:rPr>
        <w:t>Se incluyen lo relacionado con las sanciones por incumplimiento a las normas del SARLAFT, los reportes internos y externos que debe presentar la entidad principalmente a la UIAF y todos los demás aspectos relacionados con el tema de LA/FT para este tipo de entidades.</w:t>
      </w:r>
    </w:p>
    <w:p w14:paraId="58F8A591">
      <w:pPr>
        <w:rPr>
          <w:rFonts w:cs="Arial"/>
          <w:lang w:val="es-MX"/>
        </w:rPr>
      </w:pPr>
    </w:p>
    <w:p w14:paraId="55F49DB7">
      <w:pPr>
        <w:rPr>
          <w:rFonts w:ascii="Century Gothic" w:hAnsi="Century Gothic" w:cs="Arial"/>
          <w:sz w:val="22"/>
          <w:szCs w:val="22"/>
          <w:lang w:val="es-MX"/>
        </w:rPr>
      </w:pPr>
      <w:r>
        <w:rPr>
          <w:rFonts w:ascii="Century Gothic" w:hAnsi="Century Gothic" w:cs="Arial"/>
          <w:sz w:val="22"/>
          <w:szCs w:val="22"/>
          <w:lang w:val="es-MX"/>
        </w:rPr>
        <w:t xml:space="preserve">Por el carácter normativo del presente manual, a partir de su aprobación por parte de Consejo de Administración, todos los controles, normas, procedimientos y mecanismos que tengan que ver con el SARLAFT, son de obligatorio cumplimiento para todos los funcionarios, directivos e integrantes de la junta de vigilancia, y su incumplimiento acarreará las sanciones a que haya, sin perjuicio de las responsabilidades civiles, penales y administrativas. </w:t>
      </w:r>
    </w:p>
    <w:p w14:paraId="5AA1139C">
      <w:pPr>
        <w:rPr>
          <w:rFonts w:ascii="Century Gothic" w:hAnsi="Century Gothic" w:cs="Arial"/>
          <w:sz w:val="22"/>
          <w:szCs w:val="22"/>
          <w:lang w:val="es-MX"/>
        </w:rPr>
      </w:pPr>
    </w:p>
    <w:p w14:paraId="707A27BA">
      <w:pPr>
        <w:rPr>
          <w:rFonts w:ascii="Century Gothic" w:hAnsi="Century Gothic" w:cs="Arial"/>
          <w:sz w:val="22"/>
          <w:szCs w:val="22"/>
          <w:lang w:val="es-MX"/>
        </w:rPr>
      </w:pPr>
    </w:p>
    <w:p w14:paraId="19530588">
      <w:pPr>
        <w:rPr>
          <w:rFonts w:ascii="Century Gothic" w:hAnsi="Century Gothic" w:cs="Arial"/>
          <w:sz w:val="22"/>
          <w:szCs w:val="22"/>
          <w:lang w:val="es-MX"/>
        </w:rPr>
      </w:pPr>
    </w:p>
    <w:p w14:paraId="2107E8BB">
      <w:pPr>
        <w:rPr>
          <w:rFonts w:ascii="Century Gothic" w:hAnsi="Century Gothic" w:cs="Arial"/>
          <w:sz w:val="22"/>
          <w:szCs w:val="22"/>
          <w:lang w:val="es-MX"/>
        </w:rPr>
      </w:pPr>
    </w:p>
    <w:p w14:paraId="47781BDC">
      <w:pPr>
        <w:rPr>
          <w:rFonts w:ascii="Century Gothic" w:hAnsi="Century Gothic" w:cs="Arial"/>
          <w:sz w:val="22"/>
          <w:szCs w:val="22"/>
          <w:lang w:val="es-MX"/>
        </w:rPr>
      </w:pPr>
    </w:p>
    <w:p w14:paraId="65D19D2A">
      <w:pPr>
        <w:rPr>
          <w:rFonts w:ascii="Century Gothic" w:hAnsi="Century Gothic" w:cs="Arial"/>
          <w:sz w:val="22"/>
          <w:szCs w:val="22"/>
          <w:lang w:val="es-MX"/>
        </w:rPr>
      </w:pPr>
    </w:p>
    <w:p w14:paraId="358730B8">
      <w:pPr>
        <w:rPr>
          <w:rFonts w:ascii="Century Gothic" w:hAnsi="Century Gothic" w:cs="Arial"/>
          <w:sz w:val="22"/>
          <w:szCs w:val="22"/>
          <w:lang w:val="es-MX"/>
        </w:rPr>
      </w:pPr>
    </w:p>
    <w:p w14:paraId="1E64E23B">
      <w:pPr>
        <w:rPr>
          <w:rFonts w:ascii="Century Gothic" w:hAnsi="Century Gothic" w:cs="Arial"/>
          <w:sz w:val="22"/>
          <w:szCs w:val="22"/>
          <w:lang w:val="es-MX"/>
        </w:rPr>
      </w:pPr>
    </w:p>
    <w:p w14:paraId="1F47ADAE">
      <w:pPr>
        <w:rPr>
          <w:rFonts w:ascii="Century Gothic" w:hAnsi="Century Gothic" w:cs="Arial"/>
          <w:sz w:val="22"/>
          <w:szCs w:val="22"/>
          <w:lang w:val="es-MX"/>
        </w:rPr>
      </w:pPr>
    </w:p>
    <w:p w14:paraId="1BDEA130">
      <w:pPr>
        <w:rPr>
          <w:rFonts w:ascii="Century Gothic" w:hAnsi="Century Gothic" w:cs="Arial"/>
          <w:sz w:val="22"/>
          <w:szCs w:val="22"/>
          <w:lang w:val="es-MX"/>
        </w:rPr>
      </w:pPr>
    </w:p>
    <w:p w14:paraId="46DA7206">
      <w:pPr>
        <w:rPr>
          <w:rFonts w:ascii="Century Gothic" w:hAnsi="Century Gothic" w:cs="Arial"/>
          <w:sz w:val="22"/>
          <w:szCs w:val="22"/>
          <w:lang w:val="es-MX"/>
        </w:rPr>
      </w:pPr>
    </w:p>
    <w:p w14:paraId="455523E0">
      <w:pPr>
        <w:rPr>
          <w:rFonts w:ascii="Century Gothic" w:hAnsi="Century Gothic" w:cs="Arial"/>
          <w:sz w:val="22"/>
          <w:szCs w:val="22"/>
          <w:lang w:val="es-MX"/>
        </w:rPr>
      </w:pPr>
    </w:p>
    <w:p w14:paraId="6E4E1E17">
      <w:pPr>
        <w:rPr>
          <w:rFonts w:ascii="Century Gothic" w:hAnsi="Century Gothic" w:cs="Arial"/>
          <w:sz w:val="22"/>
          <w:szCs w:val="22"/>
          <w:lang w:val="es-MX"/>
        </w:rPr>
      </w:pPr>
    </w:p>
    <w:p w14:paraId="45E550C4">
      <w:pPr>
        <w:rPr>
          <w:rFonts w:ascii="Century Gothic" w:hAnsi="Century Gothic" w:cs="Arial"/>
          <w:sz w:val="22"/>
          <w:szCs w:val="22"/>
          <w:lang w:val="es-MX"/>
        </w:rPr>
      </w:pPr>
    </w:p>
    <w:p w14:paraId="09584526">
      <w:pPr>
        <w:rPr>
          <w:rFonts w:ascii="Century Gothic" w:hAnsi="Century Gothic" w:cs="Arial"/>
          <w:sz w:val="22"/>
          <w:szCs w:val="22"/>
          <w:lang w:val="es-MX"/>
        </w:rPr>
      </w:pPr>
    </w:p>
    <w:p w14:paraId="1A618365">
      <w:pPr>
        <w:rPr>
          <w:rFonts w:ascii="Century Gothic" w:hAnsi="Century Gothic" w:cs="Arial"/>
          <w:sz w:val="22"/>
          <w:szCs w:val="22"/>
          <w:lang w:val="es-MX"/>
        </w:rPr>
      </w:pPr>
    </w:p>
    <w:p w14:paraId="29FA8333">
      <w:pPr>
        <w:rPr>
          <w:rFonts w:ascii="Century Gothic" w:hAnsi="Century Gothic" w:cs="Arial"/>
          <w:sz w:val="22"/>
          <w:szCs w:val="22"/>
          <w:lang w:val="es-MX"/>
        </w:rPr>
      </w:pPr>
    </w:p>
    <w:p w14:paraId="0A87F646">
      <w:pPr>
        <w:rPr>
          <w:rFonts w:ascii="Century Gothic" w:hAnsi="Century Gothic" w:cs="Arial"/>
          <w:sz w:val="22"/>
          <w:szCs w:val="22"/>
          <w:lang w:val="es-MX"/>
        </w:rPr>
      </w:pPr>
    </w:p>
    <w:p w14:paraId="1CFF9E7E">
      <w:pPr>
        <w:rPr>
          <w:rFonts w:ascii="Century Gothic" w:hAnsi="Century Gothic" w:cs="Arial"/>
          <w:sz w:val="22"/>
          <w:szCs w:val="22"/>
          <w:lang w:val="es-MX"/>
        </w:rPr>
      </w:pPr>
    </w:p>
    <w:p w14:paraId="1570110E">
      <w:pPr>
        <w:rPr>
          <w:rFonts w:ascii="Century Gothic" w:hAnsi="Century Gothic" w:cs="Arial"/>
          <w:sz w:val="22"/>
          <w:szCs w:val="22"/>
          <w:lang w:val="es-MX"/>
        </w:rPr>
      </w:pPr>
    </w:p>
    <w:p w14:paraId="074B124B">
      <w:pPr>
        <w:rPr>
          <w:rFonts w:ascii="Century Gothic" w:hAnsi="Century Gothic" w:cs="Arial"/>
          <w:sz w:val="22"/>
          <w:szCs w:val="22"/>
          <w:lang w:val="es-MX"/>
        </w:rPr>
      </w:pPr>
    </w:p>
    <w:p w14:paraId="6609704E">
      <w:pPr>
        <w:rPr>
          <w:rFonts w:ascii="Century Gothic" w:hAnsi="Century Gothic" w:cs="Arial"/>
          <w:sz w:val="22"/>
          <w:szCs w:val="22"/>
          <w:lang w:val="es-MX"/>
        </w:rPr>
      </w:pPr>
    </w:p>
    <w:p w14:paraId="13264EDC">
      <w:pPr>
        <w:rPr>
          <w:rFonts w:ascii="Century Gothic" w:hAnsi="Century Gothic" w:cs="Arial"/>
          <w:sz w:val="22"/>
          <w:szCs w:val="22"/>
          <w:lang w:val="es-MX"/>
        </w:rPr>
      </w:pPr>
    </w:p>
    <w:p w14:paraId="3FABFE53">
      <w:pPr>
        <w:rPr>
          <w:rFonts w:ascii="Century Gothic" w:hAnsi="Century Gothic" w:cs="Arial"/>
          <w:sz w:val="22"/>
          <w:szCs w:val="22"/>
          <w:lang w:val="es-MX"/>
        </w:rPr>
      </w:pPr>
    </w:p>
    <w:p w14:paraId="44489D07">
      <w:pPr>
        <w:rPr>
          <w:rFonts w:ascii="Century Gothic" w:hAnsi="Century Gothic" w:cs="Arial"/>
          <w:sz w:val="22"/>
          <w:szCs w:val="22"/>
          <w:lang w:val="es-MX"/>
        </w:rPr>
      </w:pPr>
    </w:p>
    <w:p w14:paraId="30BCFE72">
      <w:pPr>
        <w:rPr>
          <w:rFonts w:ascii="Century Gothic" w:hAnsi="Century Gothic" w:cs="Arial"/>
          <w:sz w:val="22"/>
          <w:szCs w:val="22"/>
          <w:lang w:val="es-MX"/>
        </w:rPr>
      </w:pPr>
    </w:p>
    <w:p w14:paraId="5D7A1A47">
      <w:pPr>
        <w:rPr>
          <w:rFonts w:ascii="Century Gothic" w:hAnsi="Century Gothic" w:cs="Arial"/>
          <w:sz w:val="22"/>
          <w:szCs w:val="22"/>
          <w:lang w:val="es-MX"/>
        </w:rPr>
      </w:pPr>
    </w:p>
    <w:p w14:paraId="304EFED8">
      <w:pPr>
        <w:rPr>
          <w:rFonts w:ascii="Century Gothic" w:hAnsi="Century Gothic" w:cs="Arial"/>
          <w:sz w:val="22"/>
          <w:szCs w:val="22"/>
          <w:lang w:val="es-MX"/>
        </w:rPr>
      </w:pPr>
    </w:p>
    <w:p w14:paraId="61937145">
      <w:pPr>
        <w:rPr>
          <w:rFonts w:ascii="Century Gothic" w:hAnsi="Century Gothic" w:cs="Arial"/>
          <w:sz w:val="22"/>
          <w:szCs w:val="22"/>
          <w:lang w:val="es-MX"/>
        </w:rPr>
      </w:pPr>
    </w:p>
    <w:p w14:paraId="706D44DF">
      <w:pPr>
        <w:rPr>
          <w:rFonts w:ascii="Century Gothic" w:hAnsi="Century Gothic" w:cs="Arial"/>
          <w:sz w:val="22"/>
          <w:szCs w:val="22"/>
          <w:lang w:val="es-MX"/>
        </w:rPr>
      </w:pPr>
    </w:p>
    <w:p w14:paraId="2AF812ED">
      <w:pPr>
        <w:rPr>
          <w:rFonts w:ascii="Century Gothic" w:hAnsi="Century Gothic" w:cs="Arial"/>
          <w:sz w:val="22"/>
          <w:szCs w:val="22"/>
          <w:lang w:val="es-MX"/>
        </w:rPr>
      </w:pPr>
    </w:p>
    <w:p w14:paraId="09FAE7F1">
      <w:pPr>
        <w:rPr>
          <w:rFonts w:ascii="Century Gothic" w:hAnsi="Century Gothic" w:cs="Arial"/>
          <w:sz w:val="22"/>
          <w:szCs w:val="22"/>
          <w:lang w:val="es-MX"/>
        </w:rPr>
      </w:pPr>
    </w:p>
    <w:p w14:paraId="79A0B3DB">
      <w:pPr>
        <w:rPr>
          <w:rFonts w:ascii="Century Gothic" w:hAnsi="Century Gothic" w:cs="Arial"/>
          <w:sz w:val="22"/>
          <w:szCs w:val="22"/>
          <w:lang w:val="es-MX"/>
        </w:rPr>
      </w:pPr>
    </w:p>
    <w:p w14:paraId="2520D850">
      <w:pPr>
        <w:rPr>
          <w:rFonts w:ascii="Century Gothic" w:hAnsi="Century Gothic" w:cs="Arial"/>
          <w:sz w:val="22"/>
          <w:szCs w:val="22"/>
          <w:lang w:val="es-MX"/>
        </w:rPr>
      </w:pPr>
    </w:p>
    <w:p w14:paraId="7817435C">
      <w:pPr>
        <w:rPr>
          <w:rFonts w:ascii="Century Gothic" w:hAnsi="Century Gothic" w:cs="Arial"/>
          <w:sz w:val="22"/>
          <w:szCs w:val="22"/>
          <w:lang w:val="es-MX"/>
        </w:rPr>
      </w:pPr>
    </w:p>
    <w:p w14:paraId="2F801982">
      <w:pPr>
        <w:rPr>
          <w:rFonts w:ascii="Century Gothic" w:hAnsi="Century Gothic" w:cs="Arial"/>
          <w:sz w:val="22"/>
          <w:szCs w:val="22"/>
          <w:lang w:val="es-MX"/>
        </w:rPr>
      </w:pPr>
    </w:p>
    <w:p w14:paraId="605F5815">
      <w:pPr>
        <w:rPr>
          <w:rFonts w:ascii="Century Gothic" w:hAnsi="Century Gothic" w:cs="Arial"/>
          <w:sz w:val="22"/>
          <w:szCs w:val="22"/>
          <w:lang w:val="es-MX"/>
        </w:rPr>
      </w:pPr>
    </w:p>
    <w:p w14:paraId="3044E933">
      <w:pPr>
        <w:pStyle w:val="2"/>
        <w:numPr>
          <w:ilvl w:val="0"/>
          <w:numId w:val="2"/>
        </w:numPr>
        <w:jc w:val="center"/>
        <w:rPr>
          <w:rFonts w:ascii="Century Gothic" w:hAnsi="Century Gothic"/>
          <w:i/>
          <w:sz w:val="22"/>
          <w:szCs w:val="22"/>
        </w:rPr>
      </w:pPr>
      <w:bookmarkStart w:id="0" w:name="_Toc330195059"/>
      <w:bookmarkStart w:id="1" w:name="_Toc521327737"/>
      <w:bookmarkStart w:id="2" w:name="_Toc333831297"/>
      <w:r>
        <w:rPr>
          <w:rFonts w:ascii="Century Gothic" w:hAnsi="Century Gothic"/>
          <w:sz w:val="22"/>
          <w:szCs w:val="22"/>
        </w:rPr>
        <w:t>DISPOSICIONES GENERALES</w:t>
      </w:r>
      <w:bookmarkEnd w:id="0"/>
      <w:bookmarkEnd w:id="1"/>
      <w:bookmarkEnd w:id="2"/>
    </w:p>
    <w:p w14:paraId="5EB30ED6">
      <w:pPr>
        <w:pStyle w:val="49"/>
        <w:jc w:val="both"/>
        <w:rPr>
          <w:rFonts w:ascii="Century Gothic" w:hAnsi="Century Gothic" w:cs="Arial"/>
          <w:sz w:val="22"/>
          <w:szCs w:val="22"/>
        </w:rPr>
      </w:pPr>
    </w:p>
    <w:p w14:paraId="71CEBDCA">
      <w:pPr>
        <w:pStyle w:val="49"/>
        <w:tabs>
          <w:tab w:val="left" w:pos="720"/>
        </w:tabs>
        <w:ind w:left="360"/>
        <w:jc w:val="both"/>
        <w:rPr>
          <w:rFonts w:ascii="Century Gothic" w:hAnsi="Century Gothic" w:cs="Arial"/>
          <w:b w:val="0"/>
          <w:bCs w:val="0"/>
          <w:sz w:val="22"/>
          <w:szCs w:val="22"/>
        </w:rPr>
      </w:pPr>
      <w:r>
        <w:rPr>
          <w:rFonts w:ascii="Century Gothic" w:hAnsi="Century Gothic" w:cs="Arial"/>
          <w:b w:val="0"/>
          <w:bCs w:val="0"/>
          <w:sz w:val="22"/>
          <w:szCs w:val="22"/>
        </w:rPr>
        <w:t xml:space="preserve">La aprobación del presente Manual de “SARLAFT”, corresponde al Consejo de Administración de </w:t>
      </w:r>
      <w:r>
        <w:rPr>
          <w:rFonts w:ascii="Century Gothic" w:hAnsi="Century Gothic" w:cs="ITC Franklin Gothic Std Book" w:eastAsiaTheme="minorHAnsi"/>
          <w:b w:val="0"/>
          <w:color w:val="000000"/>
          <w:sz w:val="22"/>
          <w:szCs w:val="22"/>
          <w:lang w:eastAsia="en-US"/>
        </w:rPr>
        <w:t>COOPCALLEJONA LTDA</w:t>
      </w:r>
      <w:r>
        <w:rPr>
          <w:rFonts w:ascii="Century Gothic" w:hAnsi="Century Gothic" w:cs="Arial"/>
          <w:b w:val="0"/>
          <w:bCs w:val="0"/>
          <w:sz w:val="22"/>
          <w:szCs w:val="22"/>
        </w:rPr>
        <w:t>.</w:t>
      </w:r>
    </w:p>
    <w:p w14:paraId="2353E42C">
      <w:pPr>
        <w:pStyle w:val="49"/>
        <w:jc w:val="both"/>
        <w:rPr>
          <w:rFonts w:ascii="Century Gothic" w:hAnsi="Century Gothic" w:cs="Arial"/>
          <w:b w:val="0"/>
          <w:bCs w:val="0"/>
          <w:sz w:val="22"/>
          <w:szCs w:val="22"/>
        </w:rPr>
      </w:pPr>
    </w:p>
    <w:p w14:paraId="64653423">
      <w:pPr>
        <w:pStyle w:val="49"/>
        <w:tabs>
          <w:tab w:val="left" w:pos="720"/>
        </w:tabs>
        <w:ind w:left="360"/>
        <w:jc w:val="both"/>
        <w:rPr>
          <w:rFonts w:ascii="Century Gothic" w:hAnsi="Century Gothic" w:cs="Arial"/>
          <w:b w:val="0"/>
          <w:bCs w:val="0"/>
          <w:sz w:val="22"/>
          <w:szCs w:val="22"/>
        </w:rPr>
      </w:pPr>
      <w:r>
        <w:rPr>
          <w:rFonts w:ascii="Century Gothic" w:hAnsi="Century Gothic" w:cs="Arial"/>
          <w:b w:val="0"/>
          <w:bCs w:val="0"/>
          <w:sz w:val="22"/>
          <w:szCs w:val="22"/>
        </w:rPr>
        <w:t>El Manual de “SARLAFT”, es una herramienta de trabajo que se debe tener actualizada periódicamente siguiendo los lineamientos de los organismos competentes. Las modificaciones a que haya lugar se deben hacer con la mayor prontitud y cuidado.</w:t>
      </w:r>
    </w:p>
    <w:p w14:paraId="198E1FD9">
      <w:pPr>
        <w:pStyle w:val="49"/>
        <w:jc w:val="both"/>
        <w:rPr>
          <w:rFonts w:ascii="Century Gothic" w:hAnsi="Century Gothic" w:cs="Arial"/>
          <w:b w:val="0"/>
          <w:bCs w:val="0"/>
          <w:sz w:val="22"/>
          <w:szCs w:val="22"/>
        </w:rPr>
      </w:pPr>
    </w:p>
    <w:p w14:paraId="7C688858">
      <w:pPr>
        <w:pStyle w:val="49"/>
        <w:tabs>
          <w:tab w:val="left" w:pos="720"/>
        </w:tabs>
        <w:ind w:left="360"/>
        <w:jc w:val="both"/>
        <w:rPr>
          <w:rFonts w:ascii="Century Gothic" w:hAnsi="Century Gothic" w:cs="Arial"/>
          <w:b w:val="0"/>
          <w:bCs w:val="0"/>
          <w:sz w:val="22"/>
          <w:szCs w:val="22"/>
        </w:rPr>
      </w:pPr>
      <w:r>
        <w:rPr>
          <w:rFonts w:ascii="Century Gothic" w:hAnsi="Century Gothic" w:cs="Arial"/>
          <w:b w:val="0"/>
          <w:bCs w:val="0"/>
          <w:sz w:val="22"/>
          <w:szCs w:val="22"/>
        </w:rPr>
        <w:t>Toda observación o recomendación tendiente al mejoramiento de su contenido es de vital importancia y debe darse a conocer al Consejo de Administración de manera rápida y oportuna.</w:t>
      </w:r>
    </w:p>
    <w:p w14:paraId="514380DE">
      <w:pPr>
        <w:pStyle w:val="49"/>
        <w:jc w:val="both"/>
        <w:rPr>
          <w:rFonts w:ascii="Century Gothic" w:hAnsi="Century Gothic" w:cs="Arial"/>
          <w:b w:val="0"/>
          <w:bCs w:val="0"/>
          <w:sz w:val="22"/>
          <w:szCs w:val="22"/>
        </w:rPr>
      </w:pPr>
    </w:p>
    <w:p w14:paraId="25B3A9E1">
      <w:pPr>
        <w:pStyle w:val="49"/>
        <w:tabs>
          <w:tab w:val="left" w:pos="720"/>
        </w:tabs>
        <w:ind w:left="360"/>
        <w:jc w:val="both"/>
        <w:rPr>
          <w:rFonts w:ascii="Century Gothic" w:hAnsi="Century Gothic" w:cs="Arial"/>
          <w:b w:val="0"/>
          <w:bCs w:val="0"/>
          <w:sz w:val="22"/>
          <w:szCs w:val="22"/>
        </w:rPr>
      </w:pPr>
      <w:r>
        <w:rPr>
          <w:rFonts w:ascii="Century Gothic" w:hAnsi="Century Gothic" w:cs="Arial"/>
          <w:b w:val="0"/>
          <w:bCs w:val="0"/>
          <w:sz w:val="22"/>
          <w:szCs w:val="22"/>
        </w:rPr>
        <w:t>Las modificaciones (Reemplazo, eliminación o adición de páginas) deben ser autorizadas  por el Consejo de Administración</w:t>
      </w:r>
    </w:p>
    <w:p w14:paraId="7888DF6C">
      <w:pPr>
        <w:pStyle w:val="49"/>
        <w:jc w:val="both"/>
        <w:rPr>
          <w:rFonts w:ascii="Century Gothic" w:hAnsi="Century Gothic" w:cs="Arial"/>
          <w:b w:val="0"/>
          <w:bCs w:val="0"/>
          <w:sz w:val="22"/>
          <w:szCs w:val="22"/>
        </w:rPr>
      </w:pPr>
    </w:p>
    <w:p w14:paraId="35F02566">
      <w:pPr>
        <w:pStyle w:val="49"/>
        <w:tabs>
          <w:tab w:val="left" w:pos="720"/>
        </w:tabs>
        <w:ind w:left="360"/>
        <w:jc w:val="both"/>
        <w:rPr>
          <w:rFonts w:ascii="Century Gothic" w:hAnsi="Century Gothic" w:cs="Arial"/>
          <w:b w:val="0"/>
          <w:bCs w:val="0"/>
          <w:sz w:val="22"/>
          <w:szCs w:val="22"/>
        </w:rPr>
      </w:pPr>
      <w:r>
        <w:rPr>
          <w:rFonts w:ascii="Century Gothic" w:hAnsi="Century Gothic" w:cs="Arial"/>
          <w:b w:val="0"/>
          <w:bCs w:val="0"/>
          <w:sz w:val="22"/>
          <w:szCs w:val="22"/>
        </w:rPr>
        <w:t xml:space="preserve">El Manual de “SARLAFT” por su carácter normativo es de obligatorio cumplimiento por parte de los trabajadores, proveedores, asociados, Consejo de Administración, Junta de Vigilancia y Comités,   y deberá estar disponible para la consulta por parte de cualquier empleado y bajo la responsabilidad del Oficial de Cumplimiento. Toda consulta sobre la aplicación del Manual deberá formularse, al Oficial de Cumplimiento, a la Gerencia  o al Consejo de Administración de </w:t>
      </w:r>
      <w:r>
        <w:rPr>
          <w:rFonts w:ascii="Century Gothic" w:hAnsi="Century Gothic" w:cs="ITC Franklin Gothic Std Book" w:eastAsiaTheme="minorHAnsi"/>
          <w:b w:val="0"/>
          <w:color w:val="000000"/>
          <w:sz w:val="22"/>
          <w:szCs w:val="22"/>
          <w:lang w:eastAsia="en-US"/>
        </w:rPr>
        <w:t>COOPCALLEJONA LTDA</w:t>
      </w:r>
      <w:r>
        <w:rPr>
          <w:rFonts w:ascii="Century Gothic" w:hAnsi="Century Gothic" w:cs="Arial"/>
          <w:b w:val="0"/>
          <w:bCs w:val="0"/>
          <w:sz w:val="22"/>
          <w:szCs w:val="22"/>
        </w:rPr>
        <w:t>, según sea el caso.</w:t>
      </w:r>
    </w:p>
    <w:p w14:paraId="58D79AF0">
      <w:pPr>
        <w:pStyle w:val="65"/>
        <w:rPr>
          <w:rFonts w:ascii="Century Gothic" w:hAnsi="Century Gothic" w:cs="Arial"/>
          <w:b/>
          <w:bCs/>
          <w:sz w:val="22"/>
          <w:szCs w:val="22"/>
        </w:rPr>
      </w:pPr>
    </w:p>
    <w:p w14:paraId="625FBDB4">
      <w:pPr>
        <w:pStyle w:val="49"/>
        <w:tabs>
          <w:tab w:val="left" w:pos="720"/>
        </w:tabs>
        <w:ind w:left="360"/>
        <w:jc w:val="both"/>
        <w:rPr>
          <w:rFonts w:ascii="Century Gothic" w:hAnsi="Century Gothic" w:cs="Arial"/>
          <w:b w:val="0"/>
          <w:bCs w:val="0"/>
          <w:sz w:val="22"/>
          <w:szCs w:val="22"/>
        </w:rPr>
      </w:pPr>
      <w:r>
        <w:rPr>
          <w:rFonts w:ascii="Century Gothic" w:hAnsi="Century Gothic" w:cs="Arial"/>
          <w:b w:val="0"/>
          <w:bCs w:val="0"/>
          <w:sz w:val="22"/>
          <w:szCs w:val="22"/>
        </w:rPr>
        <w:t>Para el conocimiento y aplicación del contenido del presente Manual de “SARLAFT” y sus actualizaciones se deberá como mínimo programar una capacitación anual a directivos y funcionarios, y una vez realizada la capacitación anual a directivos y funcionarios se hará una evaluación para medir el nivel de aprendizaje del Manual de “SARLAFT”, y hacer los ajustes pertinentes si fuese el caso.</w:t>
      </w:r>
    </w:p>
    <w:p w14:paraId="0DFD9E66">
      <w:pPr>
        <w:pStyle w:val="65"/>
        <w:rPr>
          <w:rFonts w:ascii="Century Gothic" w:hAnsi="Century Gothic" w:cs="Arial"/>
          <w:b/>
          <w:bCs/>
          <w:sz w:val="22"/>
          <w:szCs w:val="22"/>
        </w:rPr>
      </w:pPr>
    </w:p>
    <w:p w14:paraId="55B27A22">
      <w:pPr>
        <w:pStyle w:val="49"/>
        <w:tabs>
          <w:tab w:val="left" w:pos="720"/>
        </w:tabs>
        <w:ind w:left="360"/>
        <w:jc w:val="both"/>
        <w:rPr>
          <w:rFonts w:ascii="Century Gothic" w:hAnsi="Century Gothic" w:cs="Arial"/>
          <w:b w:val="0"/>
          <w:bCs w:val="0"/>
          <w:sz w:val="22"/>
          <w:szCs w:val="22"/>
        </w:rPr>
      </w:pPr>
      <w:r>
        <w:rPr>
          <w:rFonts w:ascii="Century Gothic" w:hAnsi="Century Gothic" w:cs="Arial"/>
          <w:b w:val="0"/>
          <w:bCs w:val="0"/>
          <w:sz w:val="22"/>
          <w:szCs w:val="22"/>
        </w:rPr>
        <w:t>Las personas que ingresen a la Entidad como directivos o trabajadores deberán capacitarse en el contenido del Manual de “SARLAFT”.</w:t>
      </w:r>
    </w:p>
    <w:p w14:paraId="3B044457">
      <w:pPr>
        <w:pStyle w:val="65"/>
        <w:rPr>
          <w:rFonts w:ascii="Century Gothic" w:hAnsi="Century Gothic" w:cs="Arial"/>
          <w:b/>
          <w:bCs/>
          <w:sz w:val="22"/>
          <w:szCs w:val="22"/>
        </w:rPr>
      </w:pPr>
    </w:p>
    <w:p w14:paraId="2DBE9D37">
      <w:pPr>
        <w:pStyle w:val="49"/>
        <w:tabs>
          <w:tab w:val="left" w:pos="720"/>
        </w:tabs>
        <w:ind w:left="360"/>
        <w:jc w:val="both"/>
        <w:rPr>
          <w:rFonts w:ascii="Century Gothic" w:hAnsi="Century Gothic" w:cs="Arial"/>
          <w:b w:val="0"/>
          <w:bCs w:val="0"/>
          <w:sz w:val="22"/>
          <w:szCs w:val="22"/>
        </w:rPr>
      </w:pPr>
      <w:r>
        <w:rPr>
          <w:rFonts w:ascii="Century Gothic" w:hAnsi="Century Gothic" w:cs="Arial"/>
          <w:b w:val="0"/>
          <w:bCs w:val="0"/>
          <w:sz w:val="22"/>
          <w:szCs w:val="22"/>
        </w:rPr>
        <w:t>Hacen parte integral del presente Manual de “SARLAFT” las disposiciones legales que dicten las entidades competentes que no se contemplen en el presente documento y le sean aplicables, o que deroguen o modifiquen alguno de los aspectos contenidos en el presente Manual.</w:t>
      </w:r>
    </w:p>
    <w:p w14:paraId="04A32AAC">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sz w:val="22"/>
          <w:szCs w:val="22"/>
          <w:lang w:val="es-ES"/>
        </w:rPr>
      </w:pPr>
    </w:p>
    <w:p w14:paraId="23C5F6F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1CC70EFC">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bookmarkStart w:id="3" w:name="_Toc189626922"/>
      <w:bookmarkStart w:id="4" w:name="_Toc170274695"/>
      <w:bookmarkStart w:id="5" w:name="_Toc149117484"/>
      <w:bookmarkStart w:id="6" w:name="_Toc189648952"/>
      <w:bookmarkStart w:id="7" w:name="_Toc148092421"/>
    </w:p>
    <w:p w14:paraId="11FD1281">
      <w:pPr>
        <w:pStyle w:val="2"/>
        <w:numPr>
          <w:ilvl w:val="0"/>
          <w:numId w:val="2"/>
        </w:numPr>
        <w:rPr>
          <w:rFonts w:ascii="Century Gothic" w:hAnsi="Century Gothic"/>
          <w:sz w:val="22"/>
          <w:szCs w:val="22"/>
          <w:lang w:val="es-ES"/>
        </w:rPr>
      </w:pPr>
      <w:bookmarkStart w:id="8" w:name="_Toc393614858"/>
      <w:r>
        <w:rPr>
          <w:rFonts w:ascii="Century Gothic" w:hAnsi="Century Gothic"/>
          <w:sz w:val="22"/>
          <w:szCs w:val="22"/>
        </w:rPr>
        <w:t>OBJETIVO</w:t>
      </w:r>
      <w:bookmarkEnd w:id="8"/>
      <w:r>
        <w:rPr>
          <w:rFonts w:ascii="Century Gothic" w:hAnsi="Century Gothic"/>
          <w:sz w:val="22"/>
          <w:szCs w:val="22"/>
        </w:rPr>
        <w:t xml:space="preserve"> GENERAL, OBJETIVOS ESPECÍFICOS   Y ALCANCE DEL MANUAL</w:t>
      </w:r>
    </w:p>
    <w:p w14:paraId="1D7947CB">
      <w:pPr>
        <w:pStyle w:val="44"/>
        <w:tabs>
          <w:tab w:val="left" w:pos="0"/>
        </w:tabs>
        <w:rPr>
          <w:rFonts w:ascii="Century Gothic" w:hAnsi="Century Gothic" w:cs="Arial"/>
          <w:b/>
          <w:sz w:val="22"/>
          <w:szCs w:val="22"/>
          <w:lang w:val="es-ES"/>
        </w:rPr>
      </w:pPr>
    </w:p>
    <w:p w14:paraId="50C3FD41">
      <w:pPr>
        <w:pStyle w:val="44"/>
        <w:tabs>
          <w:tab w:val="left" w:pos="0"/>
        </w:tabs>
        <w:rPr>
          <w:rFonts w:ascii="Century Gothic" w:hAnsi="Century Gothic" w:cs="Arial"/>
          <w:b/>
          <w:sz w:val="22"/>
          <w:szCs w:val="22"/>
          <w:lang w:val="es-ES"/>
        </w:rPr>
      </w:pPr>
      <w:r>
        <w:rPr>
          <w:rFonts w:ascii="Century Gothic" w:hAnsi="Century Gothic" w:cs="Arial"/>
          <w:b/>
          <w:sz w:val="22"/>
          <w:szCs w:val="22"/>
          <w:lang w:val="es-ES"/>
        </w:rPr>
        <w:t>OBJETIVO GENERAL</w:t>
      </w:r>
    </w:p>
    <w:p w14:paraId="09D77D89">
      <w:pPr>
        <w:pStyle w:val="44"/>
        <w:tabs>
          <w:tab w:val="left" w:pos="0"/>
        </w:tabs>
        <w:rPr>
          <w:rFonts w:ascii="Century Gothic" w:hAnsi="Century Gothic" w:cs="Arial"/>
          <w:sz w:val="22"/>
          <w:szCs w:val="22"/>
          <w:lang w:val="es-ES"/>
        </w:rPr>
      </w:pPr>
    </w:p>
    <w:p w14:paraId="77AFEA37">
      <w:pPr>
        <w:rPr>
          <w:rFonts w:ascii="Century Gothic" w:hAnsi="Century Gothic" w:cs="Arial"/>
          <w:sz w:val="22"/>
          <w:szCs w:val="22"/>
        </w:rPr>
      </w:pPr>
      <w:r>
        <w:rPr>
          <w:rFonts w:ascii="Century Gothic" w:hAnsi="Century Gothic" w:cs="Arial"/>
          <w:sz w:val="22"/>
          <w:szCs w:val="22"/>
          <w:lang w:val="es-ES"/>
        </w:rPr>
        <w:t>El manual del Sistema de Administración de Riesgo de Lavado de Activos y Financiación del Terrorismo – SARLAFT de la</w:t>
      </w:r>
      <w:r>
        <w:rPr>
          <w:rFonts w:ascii="Century Gothic" w:hAnsi="Century Gothic" w:cs="ITC Franklin Gothic Std Book" w:eastAsiaTheme="minorHAnsi"/>
          <w:color w:val="000000"/>
          <w:sz w:val="22"/>
          <w:szCs w:val="22"/>
          <w:lang w:eastAsia="en-US"/>
        </w:rPr>
        <w:t xml:space="preserve"> </w:t>
      </w:r>
      <w:r>
        <w:rPr>
          <w:rFonts w:ascii="Century Gothic" w:hAnsi="Century Gothic" w:cs="Arial"/>
          <w:sz w:val="22"/>
          <w:szCs w:val="22"/>
          <w:lang w:val="es-ES"/>
        </w:rPr>
        <w:t xml:space="preserve"> COOPERATIVA DE AMIGOS Y VECINOS DE CALLEJONA LTDA.</w:t>
      </w:r>
      <w:r>
        <w:rPr>
          <w:rFonts w:ascii="Century Gothic" w:hAnsi="Century Gothic" w:cs="ITC Franklin Gothic Std Book" w:eastAsiaTheme="minorHAnsi"/>
          <w:color w:val="000000"/>
          <w:sz w:val="22"/>
          <w:szCs w:val="22"/>
          <w:lang w:eastAsia="en-US"/>
        </w:rPr>
        <w:t xml:space="preserve"> “COOPCALLEJONA LTDA.”</w:t>
      </w:r>
      <w:r>
        <w:rPr>
          <w:rFonts w:ascii="Century Gothic" w:hAnsi="Century Gothic" w:cs="Arial"/>
          <w:sz w:val="22"/>
          <w:szCs w:val="22"/>
          <w:lang w:val="es-ES"/>
        </w:rPr>
        <w:t xml:space="preserve">, tiene por objetivo </w:t>
      </w:r>
      <w:r>
        <w:rPr>
          <w:rFonts w:ascii="Century Gothic" w:hAnsi="Century Gothic" w:cs="Arial"/>
          <w:sz w:val="22"/>
          <w:szCs w:val="22"/>
          <w:lang w:val="es-MX"/>
        </w:rPr>
        <w:t xml:space="preserve">contar con un documento que recoja </w:t>
      </w:r>
      <w:r>
        <w:rPr>
          <w:rFonts w:ascii="Century Gothic" w:hAnsi="Century Gothic" w:eastAsia="Calibri" w:cs="Arial"/>
          <w:bCs/>
          <w:sz w:val="22"/>
          <w:szCs w:val="22"/>
        </w:rPr>
        <w:t>la normatividad, las políticas, los procedimientos, los mecanismos e instrumentos para la prevención y el control del lavado de activos y la financiación del terrorismo en la entidad.</w:t>
      </w:r>
      <w:bookmarkStart w:id="9" w:name="_Toc321821651"/>
      <w:bookmarkStart w:id="10" w:name="_Toc293412302"/>
    </w:p>
    <w:p w14:paraId="32B925F6">
      <w:pPr>
        <w:rPr>
          <w:rFonts w:ascii="Century Gothic" w:hAnsi="Century Gothic" w:cs="Arial"/>
          <w:b/>
          <w:sz w:val="22"/>
          <w:szCs w:val="22"/>
        </w:rPr>
      </w:pPr>
    </w:p>
    <w:p w14:paraId="03F20A17">
      <w:pPr>
        <w:rPr>
          <w:rFonts w:ascii="Century Gothic" w:hAnsi="Century Gothic" w:cs="Arial"/>
          <w:b/>
          <w:sz w:val="22"/>
          <w:szCs w:val="22"/>
        </w:rPr>
      </w:pPr>
      <w:r>
        <w:rPr>
          <w:rFonts w:ascii="Century Gothic" w:hAnsi="Century Gothic" w:cs="Arial"/>
          <w:b/>
          <w:sz w:val="22"/>
          <w:szCs w:val="22"/>
        </w:rPr>
        <w:t>OBJETIVOS ESPECÍFICOS</w:t>
      </w:r>
      <w:bookmarkEnd w:id="9"/>
      <w:bookmarkEnd w:id="10"/>
    </w:p>
    <w:p w14:paraId="7779BEE9">
      <w:pPr>
        <w:rPr>
          <w:rFonts w:ascii="Century Gothic" w:hAnsi="Century Gothic" w:cs="Arial"/>
          <w:b/>
          <w:sz w:val="22"/>
          <w:szCs w:val="22"/>
        </w:rPr>
      </w:pPr>
    </w:p>
    <w:p w14:paraId="149DF772">
      <w:pPr>
        <w:rPr>
          <w:rFonts w:ascii="Century Gothic" w:hAnsi="Century Gothic" w:cs="Arial"/>
          <w:sz w:val="22"/>
          <w:szCs w:val="22"/>
        </w:rPr>
      </w:pPr>
      <w:r>
        <w:rPr>
          <w:rFonts w:ascii="Century Gothic" w:hAnsi="Century Gothic" w:cs="Arial"/>
          <w:sz w:val="22"/>
          <w:szCs w:val="22"/>
        </w:rPr>
        <w:t xml:space="preserve">De la misma manera, el manual  </w:t>
      </w:r>
      <w:r>
        <w:rPr>
          <w:rFonts w:ascii="Century Gothic" w:hAnsi="Century Gothic" w:cs="Arial"/>
          <w:sz w:val="22"/>
          <w:szCs w:val="22"/>
          <w:lang w:val="es-ES"/>
        </w:rPr>
        <w:t>de COOPERATIVA DE AMIGOS Y VECINOS DE CALLEJONA LTDA.</w:t>
      </w:r>
      <w:r>
        <w:rPr>
          <w:rFonts w:ascii="Century Gothic" w:hAnsi="Century Gothic" w:cs="ITC Franklin Gothic Std Book" w:eastAsiaTheme="minorHAnsi"/>
          <w:color w:val="000000"/>
          <w:sz w:val="22"/>
          <w:szCs w:val="22"/>
          <w:lang w:eastAsia="en-US"/>
        </w:rPr>
        <w:t xml:space="preserve"> “COOPCALLEJONA LTDA.”</w:t>
      </w:r>
      <w:r>
        <w:rPr>
          <w:rFonts w:ascii="Century Gothic" w:hAnsi="Century Gothic" w:cs="Arial"/>
          <w:sz w:val="22"/>
          <w:szCs w:val="22"/>
          <w:lang w:val="es-ES"/>
        </w:rPr>
        <w:t xml:space="preserve">, </w:t>
      </w:r>
      <w:r>
        <w:rPr>
          <w:rFonts w:ascii="Century Gothic" w:hAnsi="Century Gothic" w:cs="Arial"/>
          <w:sz w:val="22"/>
          <w:szCs w:val="22"/>
        </w:rPr>
        <w:t>propende por:</w:t>
      </w:r>
    </w:p>
    <w:p w14:paraId="0B2A7B34">
      <w:pPr>
        <w:pStyle w:val="44"/>
        <w:tabs>
          <w:tab w:val="left" w:pos="0"/>
        </w:tabs>
        <w:rPr>
          <w:rFonts w:ascii="Century Gothic" w:hAnsi="Century Gothic" w:cs="Arial"/>
          <w:b/>
          <w:sz w:val="22"/>
          <w:szCs w:val="22"/>
        </w:rPr>
      </w:pPr>
    </w:p>
    <w:p w14:paraId="77C52280">
      <w:pPr>
        <w:pStyle w:val="44"/>
        <w:numPr>
          <w:ilvl w:val="0"/>
          <w:numId w:val="3"/>
        </w:numPr>
        <w:tabs>
          <w:tab w:val="left" w:pos="0"/>
        </w:tabs>
        <w:rPr>
          <w:rFonts w:ascii="Century Gothic" w:hAnsi="Century Gothic" w:cs="Arial"/>
          <w:sz w:val="22"/>
          <w:szCs w:val="22"/>
          <w:lang w:val="es-ES"/>
        </w:rPr>
      </w:pPr>
      <w:r>
        <w:rPr>
          <w:rFonts w:ascii="Century Gothic" w:hAnsi="Century Gothic" w:cs="Arial"/>
          <w:sz w:val="22"/>
          <w:szCs w:val="22"/>
          <w:lang w:val="es-ES"/>
        </w:rPr>
        <w:t>Evitar que la entidad sea un medio para el lavado de activos y/o para la financiación del terrorismo.</w:t>
      </w:r>
    </w:p>
    <w:p w14:paraId="60C97392">
      <w:pPr>
        <w:pStyle w:val="44"/>
        <w:tabs>
          <w:tab w:val="left" w:pos="0"/>
        </w:tabs>
        <w:ind w:left="362"/>
        <w:rPr>
          <w:rFonts w:ascii="Century Gothic" w:hAnsi="Century Gothic" w:cs="Arial"/>
          <w:sz w:val="22"/>
          <w:szCs w:val="22"/>
          <w:lang w:val="es-ES"/>
        </w:rPr>
      </w:pPr>
    </w:p>
    <w:p w14:paraId="2B63979C">
      <w:pPr>
        <w:pStyle w:val="44"/>
        <w:numPr>
          <w:ilvl w:val="0"/>
          <w:numId w:val="3"/>
        </w:numPr>
        <w:tabs>
          <w:tab w:val="left" w:pos="0"/>
        </w:tabs>
        <w:rPr>
          <w:rFonts w:ascii="Century Gothic" w:hAnsi="Century Gothic" w:cs="Arial"/>
          <w:sz w:val="22"/>
          <w:szCs w:val="22"/>
          <w:lang w:val="es-ES"/>
        </w:rPr>
      </w:pPr>
      <w:r>
        <w:rPr>
          <w:rFonts w:ascii="Century Gothic" w:hAnsi="Century Gothic" w:cs="Arial"/>
          <w:sz w:val="22"/>
          <w:szCs w:val="22"/>
          <w:lang w:val="es-ES"/>
        </w:rPr>
        <w:t xml:space="preserve">Establecer herramientas que permitan un mejor conocimiento de </w:t>
      </w:r>
      <w:r>
        <w:rPr>
          <w:rFonts w:ascii="Century Gothic" w:hAnsi="Century Gothic"/>
          <w:sz w:val="22"/>
          <w:szCs w:val="22"/>
        </w:rPr>
        <w:t>los asociados/clientes, miembros del Consejo de Administración, empleados y relacionados contractuales.</w:t>
      </w:r>
    </w:p>
    <w:p w14:paraId="26BC00E8">
      <w:pPr>
        <w:pStyle w:val="44"/>
        <w:tabs>
          <w:tab w:val="left" w:pos="0"/>
        </w:tabs>
        <w:rPr>
          <w:rFonts w:ascii="Century Gothic" w:hAnsi="Century Gothic" w:cs="Arial"/>
          <w:sz w:val="22"/>
          <w:szCs w:val="22"/>
          <w:lang w:val="es-ES"/>
        </w:rPr>
      </w:pPr>
    </w:p>
    <w:p w14:paraId="157B97D4">
      <w:pPr>
        <w:pStyle w:val="30"/>
        <w:numPr>
          <w:ilvl w:val="0"/>
          <w:numId w:val="3"/>
        </w:numPr>
      </w:pPr>
      <w:r>
        <w:rPr>
          <w:rFonts w:ascii="Century Gothic" w:hAnsi="Century Gothic" w:cs="Arial"/>
          <w:sz w:val="22"/>
          <w:szCs w:val="22"/>
          <w:lang w:val="es-ES"/>
        </w:rPr>
        <w:t>Establecer las políticas para el envío oportuno de los reportes de carácter interno y externo, requeridos por los órganos de dirección,  de control o por las autoridades competentes.</w:t>
      </w:r>
    </w:p>
    <w:p w14:paraId="417C67CC">
      <w:pPr>
        <w:pStyle w:val="44"/>
        <w:tabs>
          <w:tab w:val="left" w:pos="0"/>
        </w:tabs>
        <w:ind w:left="362"/>
        <w:rPr>
          <w:rFonts w:ascii="Century Gothic" w:hAnsi="Century Gothic" w:cs="Arial"/>
          <w:sz w:val="22"/>
          <w:szCs w:val="22"/>
          <w:lang w:val="es-ES"/>
        </w:rPr>
      </w:pPr>
    </w:p>
    <w:p w14:paraId="5CA6D766">
      <w:pPr>
        <w:pStyle w:val="44"/>
        <w:numPr>
          <w:ilvl w:val="0"/>
          <w:numId w:val="3"/>
        </w:numPr>
        <w:tabs>
          <w:tab w:val="left" w:pos="0"/>
        </w:tabs>
        <w:rPr>
          <w:rFonts w:ascii="Century Gothic" w:hAnsi="Century Gothic" w:cs="Arial"/>
          <w:sz w:val="22"/>
          <w:szCs w:val="22"/>
          <w:lang w:val="es-ES"/>
        </w:rPr>
      </w:pPr>
      <w:r>
        <w:rPr>
          <w:rFonts w:ascii="Century Gothic" w:hAnsi="Century Gothic" w:cs="Arial"/>
          <w:sz w:val="22"/>
          <w:szCs w:val="22"/>
          <w:lang w:val="es-ES"/>
        </w:rPr>
        <w:t>Cumplir con la normatividad vigente en materia de lavado de activos y financiación del terrorismo emitida por la Superintendencia de Economía Solidaria –SES.</w:t>
      </w:r>
    </w:p>
    <w:p w14:paraId="07A2392D">
      <w:pPr>
        <w:pStyle w:val="65"/>
        <w:ind w:left="362" w:right="57"/>
        <w:rPr>
          <w:rFonts w:ascii="Century Gothic" w:hAnsi="Century Gothic" w:cs="Arial"/>
          <w:sz w:val="22"/>
          <w:szCs w:val="22"/>
          <w:lang w:val="es-MX"/>
        </w:rPr>
      </w:pPr>
    </w:p>
    <w:p w14:paraId="75783402">
      <w:pPr>
        <w:pStyle w:val="65"/>
        <w:numPr>
          <w:ilvl w:val="0"/>
          <w:numId w:val="3"/>
        </w:numPr>
        <w:ind w:right="57"/>
        <w:rPr>
          <w:rFonts w:ascii="Century Gothic" w:hAnsi="Century Gothic" w:cs="Arial"/>
          <w:sz w:val="22"/>
          <w:szCs w:val="22"/>
          <w:lang w:val="es-MX"/>
        </w:rPr>
      </w:pPr>
      <w:r>
        <w:rPr>
          <w:rFonts w:ascii="Century Gothic" w:hAnsi="Century Gothic" w:cs="Arial"/>
          <w:sz w:val="22"/>
          <w:szCs w:val="22"/>
          <w:lang w:val="es-MX"/>
        </w:rPr>
        <w:t>Facilitar la creación de una cultura de autocontrol para disminuir el riesgo legal y reputacional derivado de las prácticas de lavado de activos y financiación del terrorismo.</w:t>
      </w:r>
    </w:p>
    <w:p w14:paraId="1F702791">
      <w:pPr>
        <w:pStyle w:val="65"/>
        <w:ind w:left="362" w:right="57"/>
        <w:rPr>
          <w:rFonts w:ascii="Century Gothic" w:hAnsi="Century Gothic" w:cs="Arial"/>
          <w:sz w:val="22"/>
          <w:szCs w:val="22"/>
          <w:lang w:val="es-MX"/>
        </w:rPr>
      </w:pPr>
    </w:p>
    <w:p w14:paraId="2CAA9C73">
      <w:pPr>
        <w:pStyle w:val="65"/>
        <w:numPr>
          <w:ilvl w:val="0"/>
          <w:numId w:val="3"/>
        </w:numPr>
        <w:ind w:right="57"/>
        <w:rPr>
          <w:rFonts w:ascii="Century Gothic" w:hAnsi="Century Gothic" w:cs="Arial"/>
          <w:sz w:val="22"/>
          <w:szCs w:val="22"/>
          <w:lang w:val="es-MX"/>
        </w:rPr>
      </w:pPr>
      <w:r>
        <w:rPr>
          <w:rFonts w:ascii="Century Gothic" w:hAnsi="Century Gothic" w:cs="Arial"/>
          <w:sz w:val="22"/>
          <w:szCs w:val="22"/>
          <w:lang w:val="es-MX"/>
        </w:rPr>
        <w:t>Identificar claramente los roles de los diferentes órganos y funcionarios de la entidad en la prevención y control del lavado de activos y la financiación del terrorismo.</w:t>
      </w:r>
    </w:p>
    <w:p w14:paraId="2840B927">
      <w:pPr>
        <w:pStyle w:val="44"/>
        <w:tabs>
          <w:tab w:val="left" w:pos="0"/>
        </w:tabs>
        <w:ind w:left="362"/>
        <w:rPr>
          <w:rFonts w:ascii="Century Gothic" w:hAnsi="Century Gothic" w:cs="Arial"/>
          <w:sz w:val="22"/>
          <w:szCs w:val="22"/>
          <w:lang w:val="es-ES"/>
        </w:rPr>
      </w:pPr>
    </w:p>
    <w:p w14:paraId="560BCAAF">
      <w:pPr>
        <w:pStyle w:val="44"/>
        <w:numPr>
          <w:ilvl w:val="0"/>
          <w:numId w:val="3"/>
        </w:numPr>
        <w:tabs>
          <w:tab w:val="left" w:pos="0"/>
        </w:tabs>
        <w:rPr>
          <w:rFonts w:ascii="Century Gothic" w:hAnsi="Century Gothic" w:cs="Arial"/>
          <w:sz w:val="22"/>
          <w:szCs w:val="22"/>
          <w:lang w:val="es-ES"/>
        </w:rPr>
      </w:pPr>
      <w:r>
        <w:rPr>
          <w:rFonts w:ascii="Century Gothic" w:hAnsi="Century Gothic" w:cs="Arial"/>
          <w:sz w:val="22"/>
          <w:szCs w:val="22"/>
          <w:lang w:val="es-ES"/>
        </w:rPr>
        <w:t>Definir las sanciones a aplicar, a cualquier nivel jerárquico, frente al incumplimiento de la normatividad relacionada con la gestión del riesgo de LA/FT.</w:t>
      </w:r>
    </w:p>
    <w:p w14:paraId="1D6B7A49">
      <w:pPr>
        <w:pStyle w:val="44"/>
        <w:numPr>
          <w:ilvl w:val="0"/>
          <w:numId w:val="3"/>
        </w:numPr>
        <w:tabs>
          <w:tab w:val="left" w:pos="0"/>
        </w:tabs>
        <w:rPr>
          <w:rFonts w:ascii="Century Gothic" w:hAnsi="Century Gothic" w:cs="Arial"/>
          <w:sz w:val="22"/>
          <w:szCs w:val="22"/>
          <w:lang w:val="es-ES"/>
        </w:rPr>
      </w:pPr>
      <w:r>
        <w:rPr>
          <w:rFonts w:ascii="Century Gothic" w:hAnsi="Century Gothic" w:cs="Arial"/>
          <w:sz w:val="22"/>
          <w:szCs w:val="22"/>
        </w:rPr>
        <w:t>Establecer políticas y procedimientos que fortalezcan la gestión del riesgo de LAFT, como factor clave para la protección del buen nombre de la institución.</w:t>
      </w:r>
    </w:p>
    <w:p w14:paraId="70D9E1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71BFB3D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b/>
          <w:sz w:val="22"/>
          <w:szCs w:val="22"/>
          <w:lang w:val="es-ES"/>
        </w:rPr>
      </w:pPr>
      <w:r>
        <w:rPr>
          <w:rFonts w:ascii="Century Gothic" w:hAnsi="Century Gothic" w:cs="Arial"/>
          <w:b/>
          <w:sz w:val="22"/>
          <w:szCs w:val="22"/>
          <w:lang w:val="es-ES"/>
        </w:rPr>
        <w:t>ALCANCE</w:t>
      </w:r>
    </w:p>
    <w:p w14:paraId="62637F4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1E175D0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r>
        <w:rPr>
          <w:rFonts w:ascii="Century Gothic" w:hAnsi="Century Gothic" w:cs="Arial"/>
          <w:sz w:val="22"/>
          <w:szCs w:val="22"/>
        </w:rPr>
        <w:t xml:space="preserve">El presente manual describe de manera general </w:t>
      </w:r>
      <w:r>
        <w:rPr>
          <w:rFonts w:ascii="Century Gothic" w:hAnsi="Century Gothic"/>
          <w:sz w:val="22"/>
          <w:szCs w:val="22"/>
        </w:rPr>
        <w:t xml:space="preserve">las políticas y procedimientos adoptados por </w:t>
      </w:r>
      <w:r>
        <w:rPr>
          <w:rFonts w:ascii="Century Gothic" w:hAnsi="Century Gothic" w:cs="Arial"/>
          <w:sz w:val="22"/>
          <w:szCs w:val="22"/>
          <w:lang w:val="es-ES"/>
        </w:rPr>
        <w:t>LA COOPERATIVA DE AMIGOS Y VECINOS DE CALLEJONA LTDA.</w:t>
      </w:r>
      <w:r>
        <w:rPr>
          <w:rFonts w:ascii="Century Gothic" w:hAnsi="Century Gothic" w:cs="ITC Franklin Gothic Std Book" w:eastAsiaTheme="minorHAnsi"/>
          <w:color w:val="000000"/>
          <w:sz w:val="22"/>
          <w:szCs w:val="22"/>
          <w:lang w:eastAsia="en-US"/>
        </w:rPr>
        <w:t xml:space="preserve"> “COOPCALLEJONA LTDA”</w:t>
      </w:r>
      <w:r>
        <w:rPr>
          <w:rFonts w:ascii="Century Gothic" w:hAnsi="Century Gothic" w:cs="Arial"/>
          <w:sz w:val="22"/>
          <w:szCs w:val="22"/>
          <w:lang w:val="es-ES"/>
        </w:rPr>
        <w:t xml:space="preserve">, </w:t>
      </w:r>
      <w:r>
        <w:rPr>
          <w:rFonts w:ascii="Century Gothic" w:hAnsi="Century Gothic"/>
          <w:sz w:val="22"/>
          <w:szCs w:val="22"/>
        </w:rPr>
        <w:t xml:space="preserve">para el adecuado manejo del SARLAFT en lo referente a los elementos del Sistema. </w:t>
      </w:r>
    </w:p>
    <w:p w14:paraId="0157B36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1C8A2733">
      <w:pPr>
        <w:rPr>
          <w:rFonts w:ascii="Century Gothic" w:hAnsi="Century Gothic" w:cs="Arial"/>
          <w:sz w:val="22"/>
          <w:szCs w:val="22"/>
          <w:lang w:val="es-MX"/>
        </w:rPr>
      </w:pPr>
      <w:bookmarkStart w:id="11" w:name="_Toc333831306"/>
      <w:r>
        <w:rPr>
          <w:rFonts w:ascii="Century Gothic" w:hAnsi="Century Gothic" w:cs="Arial"/>
          <w:sz w:val="22"/>
          <w:szCs w:val="22"/>
        </w:rPr>
        <w:t>Por su carácter normativo el Manual del Sistema de Administración del Riesgo de Lavado de Activos y Financiación del Terrorismo “SARLAFT”, es de obligatorio cumplimiento para todas las áreas de la Entidad y los órganos de dirección y control</w:t>
      </w:r>
      <w:bookmarkEnd w:id="11"/>
      <w:r>
        <w:rPr>
          <w:rFonts w:ascii="Century Gothic" w:hAnsi="Century Gothic" w:cs="Arial"/>
          <w:sz w:val="22"/>
          <w:szCs w:val="22"/>
        </w:rPr>
        <w:t>, puntos de atención ya sean oficinas o sucursales (si existieren),  y l</w:t>
      </w:r>
      <w:r>
        <w:rPr>
          <w:rFonts w:ascii="Century Gothic" w:hAnsi="Century Gothic" w:cs="Arial"/>
          <w:sz w:val="22"/>
          <w:szCs w:val="22"/>
          <w:lang w:val="es-MX"/>
        </w:rPr>
        <w:t>a prevención y control del lavado de activos y la financiación del terrorismo debe ser una preocupación permanente de todos los asociados, usuarios, administradores, miembros de los órganos de control y trabajadores para prevenir los riesgos que se generan a partir de esas prácticas, principalmente el riesgo legal y el operacional.</w:t>
      </w:r>
    </w:p>
    <w:p w14:paraId="7B0E8C84">
      <w:pPr>
        <w:rPr>
          <w:rFonts w:ascii="Century Gothic" w:hAnsi="Century Gothic" w:cs="Arial"/>
          <w:sz w:val="22"/>
          <w:szCs w:val="22"/>
          <w:lang w:val="es-MX"/>
        </w:rPr>
      </w:pPr>
    </w:p>
    <w:p w14:paraId="7831AA1C">
      <w:pPr>
        <w:rPr>
          <w:rFonts w:ascii="Century Gothic" w:hAnsi="Century Gothic" w:cs="Arial"/>
          <w:sz w:val="22"/>
          <w:szCs w:val="22"/>
          <w:lang w:val="es-MX"/>
        </w:rPr>
      </w:pPr>
      <w:r>
        <w:rPr>
          <w:rFonts w:ascii="Century Gothic" w:hAnsi="Century Gothic" w:cs="Arial"/>
          <w:sz w:val="22"/>
          <w:szCs w:val="22"/>
          <w:lang w:val="es-MX"/>
        </w:rPr>
        <w:t xml:space="preserve">El SARLAFT, como sistema de administración de riesgo implementado por  </w:t>
      </w:r>
      <w:r>
        <w:rPr>
          <w:rFonts w:ascii="Century Gothic" w:hAnsi="Century Gothic" w:cs="ITC Franklin Gothic Std Book" w:eastAsiaTheme="minorHAnsi"/>
          <w:color w:val="000000"/>
          <w:sz w:val="22"/>
          <w:szCs w:val="22"/>
          <w:lang w:eastAsia="en-US"/>
        </w:rPr>
        <w:t>COOPCALLEJONA LTDA</w:t>
      </w:r>
      <w:r>
        <w:rPr>
          <w:rFonts w:ascii="Century Gothic" w:hAnsi="Century Gothic" w:cs="Arial"/>
          <w:sz w:val="22"/>
          <w:szCs w:val="22"/>
          <w:lang w:val="es-MX"/>
        </w:rPr>
        <w:t xml:space="preserve"> para gestionar el riesgo de LA/FT, se instrumenta a través de los elementos que más adelante se describen y que corresponden al conjunto  de componentes a través de los cuales se instrumentan la administración del riesgo LA/FT en la entidad. </w:t>
      </w:r>
    </w:p>
    <w:p w14:paraId="2457EA09">
      <w:pPr>
        <w:rPr>
          <w:rFonts w:ascii="Century Gothic" w:hAnsi="Century Gothic" w:cs="Arial"/>
          <w:sz w:val="22"/>
          <w:szCs w:val="22"/>
          <w:lang w:val="es-MX"/>
        </w:rPr>
      </w:pPr>
    </w:p>
    <w:p w14:paraId="5BBA2A78">
      <w:pPr>
        <w:rPr>
          <w:rFonts w:ascii="Century Gothic" w:hAnsi="Century Gothic" w:cs="Arial"/>
          <w:sz w:val="22"/>
          <w:szCs w:val="22"/>
          <w:lang w:val="es-MX"/>
        </w:rPr>
      </w:pPr>
      <w:r>
        <w:rPr>
          <w:rFonts w:ascii="Century Gothic" w:hAnsi="Century Gothic" w:cs="Arial"/>
          <w:sz w:val="22"/>
          <w:szCs w:val="22"/>
          <w:lang w:val="es-MX"/>
        </w:rPr>
        <w:t xml:space="preserve">El SARLAFT debe abarcar todas las actividades que realiza </w:t>
      </w:r>
      <w:r>
        <w:rPr>
          <w:rFonts w:ascii="Century Gothic" w:hAnsi="Century Gothic" w:cs="ITC Franklin Gothic Std Book" w:eastAsiaTheme="minorHAnsi"/>
          <w:color w:val="000000"/>
          <w:sz w:val="22"/>
          <w:szCs w:val="22"/>
          <w:lang w:eastAsia="en-US"/>
        </w:rPr>
        <w:t>COOPCALLEJONA LTDA</w:t>
      </w:r>
      <w:r>
        <w:rPr>
          <w:rFonts w:ascii="Century Gothic" w:hAnsi="Century Gothic" w:cs="Arial"/>
          <w:sz w:val="22"/>
          <w:szCs w:val="22"/>
          <w:lang w:val="es-MX"/>
        </w:rPr>
        <w:t xml:space="preserve"> como parte de su objeto social y prevé procedimientos y metodologías para prevenir que la entidad esté expuesta este riesgo, y que se constituya en un instrumento para el lavado de activos y/o canalización de recursos hacia la realización de actividades terroristas, para el ocultamiento de activos provenientes de dichas actividades, a través de sus asociados; de los miembros que integran los órganos de administración y control; sus empleados, sus contratistas, sus proveedores y demás terceros relacionados.</w:t>
      </w:r>
    </w:p>
    <w:p w14:paraId="0FFC1736">
      <w:pPr>
        <w:rPr>
          <w:rFonts w:ascii="Century Gothic" w:hAnsi="Century Gothic" w:cs="Arial"/>
          <w:sz w:val="22"/>
          <w:szCs w:val="22"/>
          <w:lang w:val="es-MX"/>
        </w:rPr>
      </w:pPr>
    </w:p>
    <w:p w14:paraId="55132F62">
      <w:pPr>
        <w:rPr>
          <w:rFonts w:ascii="Century Gothic" w:hAnsi="Century Gothic" w:cs="Arial"/>
          <w:sz w:val="22"/>
          <w:szCs w:val="22"/>
          <w:lang w:val="es-MX"/>
        </w:rPr>
      </w:pPr>
    </w:p>
    <w:p w14:paraId="5C0DA85A">
      <w:pPr>
        <w:rPr>
          <w:rFonts w:ascii="Century Gothic" w:hAnsi="Century Gothic" w:cs="Arial"/>
          <w:sz w:val="22"/>
          <w:szCs w:val="22"/>
          <w:lang w:val="es-MX"/>
        </w:rPr>
      </w:pPr>
    </w:p>
    <w:p w14:paraId="1300782A">
      <w:pPr>
        <w:rPr>
          <w:rFonts w:ascii="Century Gothic" w:hAnsi="Century Gothic" w:cs="Arial"/>
          <w:sz w:val="22"/>
          <w:szCs w:val="22"/>
          <w:lang w:val="es-MX"/>
        </w:rPr>
      </w:pPr>
    </w:p>
    <w:p w14:paraId="7A199A85">
      <w:pPr>
        <w:rPr>
          <w:rFonts w:ascii="Century Gothic" w:hAnsi="Century Gothic" w:cs="Arial"/>
          <w:sz w:val="22"/>
          <w:szCs w:val="22"/>
          <w:lang w:val="es-MX"/>
        </w:rPr>
      </w:pPr>
    </w:p>
    <w:p w14:paraId="4349C774">
      <w:pPr>
        <w:rPr>
          <w:rFonts w:ascii="Century Gothic" w:hAnsi="Century Gothic" w:cs="Arial"/>
          <w:sz w:val="22"/>
          <w:szCs w:val="22"/>
          <w:lang w:val="es-MX"/>
        </w:rPr>
      </w:pPr>
    </w:p>
    <w:p w14:paraId="00758449">
      <w:pPr>
        <w:rPr>
          <w:rFonts w:ascii="Century Gothic" w:hAnsi="Century Gothic" w:cs="Arial"/>
          <w:sz w:val="22"/>
          <w:szCs w:val="22"/>
          <w:lang w:val="es-MX"/>
        </w:rPr>
      </w:pPr>
    </w:p>
    <w:p w14:paraId="588D94FC">
      <w:pPr>
        <w:rPr>
          <w:rFonts w:ascii="Century Gothic" w:hAnsi="Century Gothic" w:cs="Arial"/>
          <w:sz w:val="22"/>
          <w:szCs w:val="22"/>
          <w:lang w:val="es-MX"/>
        </w:rPr>
      </w:pPr>
    </w:p>
    <w:p w14:paraId="1C29FD7A">
      <w:pPr>
        <w:rPr>
          <w:rFonts w:cs="Arial"/>
          <w:lang w:val="es-MX"/>
        </w:rPr>
      </w:pPr>
    </w:p>
    <w:p w14:paraId="577FD62C">
      <w:pPr>
        <w:pStyle w:val="65"/>
        <w:numPr>
          <w:ilvl w:val="0"/>
          <w:numId w:val="2"/>
        </w:numPr>
        <w:jc w:val="center"/>
        <w:rPr>
          <w:rFonts w:ascii="Century Gothic" w:hAnsi="Century Gothic" w:cs="Arial"/>
          <w:b/>
          <w:sz w:val="22"/>
          <w:szCs w:val="22"/>
        </w:rPr>
      </w:pPr>
      <w:r>
        <w:rPr>
          <w:rFonts w:ascii="Century Gothic" w:hAnsi="Century Gothic" w:cs="Arial"/>
          <w:b/>
          <w:sz w:val="22"/>
          <w:szCs w:val="22"/>
        </w:rPr>
        <w:t>DEFINICIONES Y VOCABLOS COMUNES</w:t>
      </w:r>
    </w:p>
    <w:p w14:paraId="24455EC1">
      <w:pPr>
        <w:jc w:val="center"/>
        <w:rPr>
          <w:rFonts w:ascii="Century Gothic" w:hAnsi="Century Gothic" w:cs="Arial"/>
          <w:b/>
          <w:sz w:val="22"/>
          <w:szCs w:val="22"/>
        </w:rPr>
      </w:pPr>
    </w:p>
    <w:p w14:paraId="7CDE1898">
      <w:pPr>
        <w:ind w:right="57"/>
        <w:rPr>
          <w:rFonts w:ascii="Century Gothic" w:hAnsi="Century Gothic" w:cs="Arial"/>
          <w:sz w:val="22"/>
          <w:szCs w:val="22"/>
        </w:rPr>
      </w:pPr>
      <w:r>
        <w:rPr>
          <w:rFonts w:ascii="Century Gothic" w:hAnsi="Century Gothic" w:cs="Arial"/>
          <w:sz w:val="22"/>
          <w:szCs w:val="22"/>
        </w:rPr>
        <w:t>Las definiciones que se presentan a continuación facilitan la comprensión del manual y unifican criterios para la interpretación del mismo.</w:t>
      </w:r>
    </w:p>
    <w:p w14:paraId="5E4833CB">
      <w:pPr>
        <w:rPr>
          <w:rFonts w:ascii="Century Gothic" w:hAnsi="Century Gothic" w:cs="Arial"/>
          <w:b/>
          <w:sz w:val="22"/>
          <w:szCs w:val="22"/>
        </w:rPr>
      </w:pPr>
    </w:p>
    <w:p w14:paraId="12F7DC79">
      <w:pPr>
        <w:pStyle w:val="65"/>
        <w:numPr>
          <w:ilvl w:val="0"/>
          <w:numId w:val="4"/>
        </w:numPr>
        <w:autoSpaceDE w:val="0"/>
        <w:autoSpaceDN w:val="0"/>
        <w:adjustRightInd w:val="0"/>
        <w:rPr>
          <w:rFonts w:ascii="Century Gothic" w:hAnsi="Century Gothic" w:cs="Arial"/>
          <w:sz w:val="22"/>
          <w:szCs w:val="22"/>
        </w:rPr>
      </w:pPr>
      <w:r>
        <w:rPr>
          <w:rFonts w:ascii="Century Gothic" w:hAnsi="Century Gothic" w:cs="Arial"/>
          <w:b/>
          <w:sz w:val="22"/>
          <w:szCs w:val="22"/>
        </w:rPr>
        <w:t xml:space="preserve">Asociado: </w:t>
      </w:r>
      <w:r>
        <w:rPr>
          <w:rFonts w:ascii="Century Gothic" w:hAnsi="Century Gothic" w:cs="Arial"/>
          <w:sz w:val="22"/>
          <w:szCs w:val="22"/>
        </w:rPr>
        <w:t>es toda persona natural o jurídica con las cuales La Entidad, establece y mantiene una relación contractual o legal para el suministro de cualquier producto, bien o servicio propio de su actividad.</w:t>
      </w:r>
    </w:p>
    <w:p w14:paraId="12E964C2">
      <w:pPr>
        <w:pStyle w:val="65"/>
        <w:autoSpaceDE w:val="0"/>
        <w:autoSpaceDN w:val="0"/>
        <w:adjustRightInd w:val="0"/>
        <w:ind w:left="786"/>
        <w:rPr>
          <w:rFonts w:ascii="Century Gothic" w:hAnsi="Century Gothic" w:cs="Arial"/>
          <w:sz w:val="22"/>
          <w:szCs w:val="22"/>
        </w:rPr>
      </w:pPr>
    </w:p>
    <w:p w14:paraId="76B68967">
      <w:pPr>
        <w:pStyle w:val="65"/>
        <w:numPr>
          <w:ilvl w:val="0"/>
          <w:numId w:val="4"/>
        </w:numPr>
        <w:ind w:right="57"/>
        <w:rPr>
          <w:rFonts w:ascii="Century Gothic" w:hAnsi="Century Gothic" w:cs="Arial"/>
          <w:sz w:val="22"/>
          <w:szCs w:val="22"/>
        </w:rPr>
      </w:pPr>
      <w:r>
        <w:rPr>
          <w:rFonts w:ascii="Century Gothic" w:hAnsi="Century Gothic" w:cs="Arial"/>
          <w:b/>
          <w:bCs/>
          <w:sz w:val="22"/>
          <w:szCs w:val="22"/>
        </w:rPr>
        <w:t xml:space="preserve">Actividades Delictivas: </w:t>
      </w:r>
      <w:r>
        <w:rPr>
          <w:rFonts w:ascii="Century Gothic" w:hAnsi="Century Gothic" w:cs="Arial"/>
          <w:sz w:val="22"/>
          <w:szCs w:val="22"/>
        </w:rPr>
        <w:t>Son aquellas conductas contrarias al ordenamiento jurídico, esto es contra del derecho. En relación con el Lavado de Activos, es evidente que el desarrollo de esta conducta constituye la realización de una actividad ilícita, máxime cuando la legislación penal la tipifica como delito. Se consideran actividades ilícitas, entre otras el tráfico de migrantes, trata de personas, extorsión, enriquecimiento ilícito de particulares, secuestro extorsivo, rebelión, tráfico de armas, financiación del terrorismo y administración de recursos relacionados con actividades terroristas, tráfico de drogas tóxicas, estupefacientes o sustancias psicotrópicas, delitos contra el sistema financiero, delitos contra la administración pública,  . La práctica de estas conductas delictivas acarrea a los responsables la imposición de penas privativas de la libertad y multas.</w:t>
      </w:r>
    </w:p>
    <w:p w14:paraId="23AEDFBC">
      <w:pPr>
        <w:pStyle w:val="65"/>
        <w:rPr>
          <w:rFonts w:ascii="Century Gothic" w:hAnsi="Century Gothic" w:cs="Arial"/>
          <w:sz w:val="22"/>
          <w:szCs w:val="22"/>
        </w:rPr>
      </w:pPr>
    </w:p>
    <w:p w14:paraId="1F268451">
      <w:pPr>
        <w:pStyle w:val="65"/>
        <w:numPr>
          <w:ilvl w:val="0"/>
          <w:numId w:val="4"/>
        </w:numPr>
        <w:ind w:right="57"/>
        <w:rPr>
          <w:rFonts w:ascii="Century Gothic" w:hAnsi="Century Gothic" w:cs="Arial"/>
          <w:sz w:val="22"/>
          <w:szCs w:val="22"/>
        </w:rPr>
      </w:pPr>
      <w:r>
        <w:rPr>
          <w:rFonts w:ascii="Century Gothic" w:hAnsi="Century Gothic" w:cs="Arial"/>
          <w:b/>
          <w:sz w:val="22"/>
          <w:szCs w:val="22"/>
        </w:rPr>
        <w:t>Agentes Económicos</w:t>
      </w:r>
      <w:r>
        <w:rPr>
          <w:rFonts w:ascii="Century Gothic" w:hAnsi="Century Gothic" w:cs="Arial"/>
          <w:sz w:val="22"/>
          <w:szCs w:val="22"/>
        </w:rPr>
        <w:t>: Son todas las personas naturales o jurídicas que realizan operaciones económicas dentro de un sistema</w:t>
      </w:r>
    </w:p>
    <w:p w14:paraId="49D1CCBF">
      <w:pPr>
        <w:pStyle w:val="65"/>
        <w:autoSpaceDE w:val="0"/>
        <w:autoSpaceDN w:val="0"/>
        <w:adjustRightInd w:val="0"/>
        <w:ind w:left="786"/>
        <w:rPr>
          <w:rFonts w:ascii="Century Gothic" w:hAnsi="Century Gothic" w:cs="Arial"/>
          <w:sz w:val="22"/>
          <w:szCs w:val="22"/>
        </w:rPr>
      </w:pPr>
    </w:p>
    <w:p w14:paraId="10A89D79">
      <w:pPr>
        <w:pStyle w:val="65"/>
        <w:numPr>
          <w:ilvl w:val="0"/>
          <w:numId w:val="4"/>
        </w:numPr>
        <w:rPr>
          <w:rFonts w:ascii="Century Gothic" w:hAnsi="Century Gothic" w:cs="Arial"/>
          <w:sz w:val="22"/>
          <w:szCs w:val="22"/>
        </w:rPr>
      </w:pPr>
      <w:r>
        <w:rPr>
          <w:rFonts w:ascii="Century Gothic" w:hAnsi="Century Gothic" w:cs="Arial"/>
          <w:b/>
          <w:sz w:val="22"/>
          <w:szCs w:val="22"/>
        </w:rPr>
        <w:t>Beneficiario Final:</w:t>
      </w:r>
      <w:r>
        <w:rPr>
          <w:rFonts w:ascii="Century Gothic" w:hAnsi="Century Gothic" w:cs="Arial"/>
          <w:sz w:val="22"/>
          <w:szCs w:val="22"/>
        </w:rPr>
        <w:t xml:space="preserve"> de conformidad con las recomendaciones del GAFI, es toda persona natural que sin tener la condición de asociado, es la propietaria, destinataria o tiene el control de al menos el 5% de la persona jurídica que actúa como asociado o cliente. De igual forma se considera como beneficiario final, la persona natural que se encuentre autorizada o facultada para disponer de los mismos. Así mismo sobre quien recaen los efectos económicos de una transacción.</w:t>
      </w:r>
    </w:p>
    <w:p w14:paraId="2FADD585">
      <w:pPr>
        <w:rPr>
          <w:rFonts w:ascii="Century Gothic" w:hAnsi="Century Gothic" w:cs="Arial"/>
          <w:sz w:val="22"/>
          <w:szCs w:val="22"/>
        </w:rPr>
      </w:pPr>
    </w:p>
    <w:p w14:paraId="77C4E6DF">
      <w:pPr>
        <w:pStyle w:val="65"/>
        <w:numPr>
          <w:ilvl w:val="0"/>
          <w:numId w:val="4"/>
        </w:numPr>
        <w:rPr>
          <w:rFonts w:ascii="Century Gothic" w:hAnsi="Century Gothic" w:cs="Arial"/>
          <w:sz w:val="22"/>
          <w:szCs w:val="22"/>
        </w:rPr>
      </w:pPr>
      <w:r>
        <w:rPr>
          <w:rFonts w:ascii="Century Gothic" w:hAnsi="Century Gothic" w:cs="Arial"/>
          <w:b/>
          <w:sz w:val="22"/>
          <w:szCs w:val="22"/>
        </w:rPr>
        <w:t xml:space="preserve">Cliente: </w:t>
      </w:r>
      <w:r>
        <w:rPr>
          <w:rFonts w:ascii="Century Gothic" w:hAnsi="Century Gothic" w:cs="Arial"/>
          <w:sz w:val="22"/>
          <w:szCs w:val="22"/>
        </w:rPr>
        <w:t>es toda persona natural o jurídica con la cual la entidad establece y mantiene una relación contractual o legal para el suministro de cualquier producto propio de su actividad.</w:t>
      </w:r>
    </w:p>
    <w:p w14:paraId="68316EFA">
      <w:pPr>
        <w:pStyle w:val="65"/>
        <w:rPr>
          <w:rFonts w:ascii="Century Gothic" w:hAnsi="Century Gothic" w:cs="Arial"/>
          <w:sz w:val="22"/>
          <w:szCs w:val="22"/>
        </w:rPr>
      </w:pPr>
    </w:p>
    <w:p w14:paraId="5CBC8CDF">
      <w:pPr>
        <w:pStyle w:val="65"/>
        <w:numPr>
          <w:ilvl w:val="0"/>
          <w:numId w:val="4"/>
        </w:numPr>
        <w:rPr>
          <w:rFonts w:ascii="Century Gothic" w:hAnsi="Century Gothic" w:cs="Arial"/>
          <w:b/>
          <w:sz w:val="22"/>
          <w:szCs w:val="22"/>
        </w:rPr>
      </w:pPr>
      <w:bookmarkStart w:id="12" w:name="_Toc333831311"/>
      <w:r>
        <w:rPr>
          <w:rFonts w:ascii="Century Gothic" w:hAnsi="Century Gothic" w:cs="Arial"/>
          <w:b/>
          <w:sz w:val="22"/>
          <w:szCs w:val="22"/>
          <w:lang w:val="es-CO"/>
        </w:rPr>
        <w:t>Clientes Exonerados</w:t>
      </w:r>
      <w:bookmarkEnd w:id="12"/>
      <w:r>
        <w:rPr>
          <w:rFonts w:ascii="Century Gothic" w:hAnsi="Century Gothic" w:cs="Arial"/>
          <w:sz w:val="22"/>
          <w:szCs w:val="22"/>
          <w:lang w:val="es-CO"/>
        </w:rPr>
        <w:t xml:space="preserve">: Clientes exceptuados para el diligenciamiento del formulario de transacciones en efectivo, que por el giro normal de sus negocios realizan numerosas transacciones en efectivo. </w:t>
      </w:r>
    </w:p>
    <w:p w14:paraId="66340E54">
      <w:pPr>
        <w:pStyle w:val="65"/>
        <w:rPr>
          <w:rFonts w:ascii="Century Gothic" w:hAnsi="Century Gothic" w:cs="Arial"/>
          <w:b/>
          <w:sz w:val="22"/>
          <w:szCs w:val="22"/>
        </w:rPr>
      </w:pPr>
    </w:p>
    <w:p w14:paraId="34B7FA3C">
      <w:pPr>
        <w:pStyle w:val="65"/>
        <w:numPr>
          <w:ilvl w:val="0"/>
          <w:numId w:val="4"/>
        </w:numPr>
        <w:rPr>
          <w:rFonts w:ascii="Century Gothic" w:hAnsi="Century Gothic" w:cs="Arial"/>
          <w:sz w:val="22"/>
          <w:szCs w:val="22"/>
        </w:rPr>
      </w:pPr>
      <w:r>
        <w:rPr>
          <w:rFonts w:ascii="Century Gothic" w:hAnsi="Century Gothic" w:cs="Arial"/>
          <w:b/>
          <w:sz w:val="22"/>
          <w:szCs w:val="22"/>
        </w:rPr>
        <w:t>Conflicto de Interés:</w:t>
      </w:r>
      <w:r>
        <w:rPr>
          <w:rFonts w:ascii="Century Gothic" w:hAnsi="Century Gothic" w:cs="Arial"/>
          <w:sz w:val="22"/>
          <w:szCs w:val="22"/>
        </w:rPr>
        <w:t xml:space="preserve"> Situación en virtud de la cual una persona, en razón de su actividad, se enfrenta a distintas alternativas de conducta con relación a intereses incompatibles, ninguna de las cuales puede privilegiar en atención a sus obligaciones legales y contractuales. Se trata de toda situación o evento en el que los intereses personales, directos o indirectos, de los asociados, los administradores, los empleados o los miembros de la entidad se opongan a los de ésta, interfieran con los deberes que les competen o los lleven a desempeñarse con motivaciones diferentes al cumplimiento de sus responsabilidades. En pocas palabras, existe conflicto de interés cuando no es posible satisfacer simultáneamente dos intereses.</w:t>
      </w:r>
    </w:p>
    <w:p w14:paraId="2A7138F4">
      <w:pPr>
        <w:pStyle w:val="65"/>
        <w:ind w:left="786"/>
        <w:rPr>
          <w:rFonts w:ascii="Century Gothic" w:hAnsi="Century Gothic" w:cs="Arial"/>
          <w:b/>
          <w:sz w:val="22"/>
          <w:szCs w:val="22"/>
        </w:rPr>
      </w:pPr>
    </w:p>
    <w:p w14:paraId="5A61737B">
      <w:pPr>
        <w:pStyle w:val="65"/>
        <w:numPr>
          <w:ilvl w:val="0"/>
          <w:numId w:val="4"/>
        </w:numPr>
        <w:rPr>
          <w:rFonts w:ascii="Century Gothic" w:hAnsi="Century Gothic" w:cs="Arial"/>
          <w:sz w:val="22"/>
          <w:szCs w:val="22"/>
        </w:rPr>
      </w:pPr>
      <w:r>
        <w:rPr>
          <w:rFonts w:ascii="Century Gothic" w:hAnsi="Century Gothic" w:cs="Arial"/>
          <w:b/>
          <w:sz w:val="22"/>
          <w:szCs w:val="22"/>
        </w:rPr>
        <w:t>Conocimiento del Asociado</w:t>
      </w:r>
      <w:r>
        <w:rPr>
          <w:rFonts w:ascii="Century Gothic" w:hAnsi="Century Gothic" w:cs="Arial"/>
          <w:sz w:val="22"/>
          <w:szCs w:val="22"/>
        </w:rPr>
        <w:t>: Proceso mediante el cual la entidad obtiene información financiera, económica y de georreferenciación que permite un conocimiento mínimo de las personas que se vinculan o establecen alguna relación comercial con la Entidad.</w:t>
      </w:r>
    </w:p>
    <w:p w14:paraId="3AC49D4D">
      <w:pPr>
        <w:pStyle w:val="65"/>
        <w:rPr>
          <w:rFonts w:ascii="Century Gothic" w:hAnsi="Century Gothic" w:cs="Arial"/>
          <w:sz w:val="22"/>
          <w:szCs w:val="22"/>
        </w:rPr>
      </w:pPr>
    </w:p>
    <w:p w14:paraId="36E2EDAB">
      <w:pPr>
        <w:pStyle w:val="65"/>
        <w:numPr>
          <w:ilvl w:val="0"/>
          <w:numId w:val="4"/>
        </w:numPr>
        <w:rPr>
          <w:rFonts w:ascii="Century Gothic" w:hAnsi="Century Gothic" w:cs="Arial"/>
          <w:sz w:val="22"/>
          <w:szCs w:val="22"/>
        </w:rPr>
      </w:pPr>
      <w:bookmarkStart w:id="13" w:name="_Toc333831314"/>
      <w:r>
        <w:rPr>
          <w:rFonts w:ascii="Century Gothic" w:hAnsi="Century Gothic" w:cs="Arial"/>
          <w:b/>
          <w:sz w:val="22"/>
          <w:szCs w:val="22"/>
        </w:rPr>
        <w:t>Enriquecimiento Ilícito</w:t>
      </w:r>
      <w:bookmarkEnd w:id="13"/>
      <w:r>
        <w:rPr>
          <w:rFonts w:ascii="Century Gothic" w:hAnsi="Century Gothic" w:cs="Arial"/>
          <w:sz w:val="22"/>
          <w:szCs w:val="22"/>
        </w:rPr>
        <w:t>: Obtener para sí o para otro un incremento patrimonial no justificado, derivado en una u otra forma de actividades delictivas. Incurre en el enriquecimiento ilícito, el empleado oficial que obtiene incremento patrimonial no justificado, por razón del cargo o de las funciones, siempre que el hecho no constituya otro delito, y la persona particular que obtiene para sí o para otro, directamente o a través de un intermediario, un incremento patrimonial no justificado, derivado en una u otra forma de actividades delictivas.</w:t>
      </w:r>
    </w:p>
    <w:p w14:paraId="53D40898">
      <w:pPr>
        <w:rPr>
          <w:rFonts w:ascii="Century Gothic" w:hAnsi="Century Gothic" w:cs="Arial"/>
          <w:sz w:val="22"/>
          <w:szCs w:val="22"/>
          <w:lang w:val="es-ES"/>
        </w:rPr>
      </w:pPr>
    </w:p>
    <w:p w14:paraId="085A9BDE">
      <w:pPr>
        <w:pStyle w:val="65"/>
        <w:numPr>
          <w:ilvl w:val="0"/>
          <w:numId w:val="4"/>
        </w:numPr>
        <w:rPr>
          <w:rFonts w:ascii="Century Gothic" w:hAnsi="Century Gothic" w:cs="Arial"/>
          <w:sz w:val="22"/>
          <w:szCs w:val="22"/>
        </w:rPr>
      </w:pPr>
      <w:r>
        <w:rPr>
          <w:rFonts w:ascii="Century Gothic" w:hAnsi="Century Gothic" w:cs="Arial"/>
          <w:b/>
          <w:sz w:val="22"/>
          <w:szCs w:val="22"/>
        </w:rPr>
        <w:t xml:space="preserve">Factores de Riesgo: </w:t>
      </w:r>
      <w:r>
        <w:rPr>
          <w:rFonts w:ascii="Century Gothic" w:hAnsi="Century Gothic" w:cs="Arial"/>
          <w:sz w:val="22"/>
          <w:szCs w:val="22"/>
        </w:rPr>
        <w:t xml:space="preserve">Son los agentes generadores del riesgo de LA/FT.  </w:t>
      </w:r>
    </w:p>
    <w:p w14:paraId="171A55AA">
      <w:pPr>
        <w:rPr>
          <w:rFonts w:ascii="Century Gothic" w:hAnsi="Century Gothic" w:cs="Arial"/>
          <w:sz w:val="22"/>
          <w:szCs w:val="22"/>
        </w:rPr>
      </w:pPr>
    </w:p>
    <w:p w14:paraId="68550F35">
      <w:pPr>
        <w:pStyle w:val="65"/>
        <w:numPr>
          <w:ilvl w:val="0"/>
          <w:numId w:val="4"/>
        </w:numPr>
        <w:rPr>
          <w:rFonts w:ascii="Century Gothic" w:hAnsi="Century Gothic" w:cs="Arial"/>
          <w:b/>
          <w:sz w:val="22"/>
          <w:szCs w:val="22"/>
        </w:rPr>
      </w:pPr>
      <w:r>
        <w:rPr>
          <w:rFonts w:ascii="Century Gothic" w:hAnsi="Century Gothic" w:cs="Arial"/>
          <w:b/>
          <w:sz w:val="22"/>
          <w:szCs w:val="22"/>
        </w:rPr>
        <w:t xml:space="preserve">Financiación del terrorismo: </w:t>
      </w:r>
      <w:r>
        <w:rPr>
          <w:rFonts w:ascii="Century Gothic" w:hAnsi="Century Gothic" w:cs="Arial"/>
          <w:color w:val="000000"/>
          <w:sz w:val="22"/>
          <w:szCs w:val="22"/>
        </w:rPr>
        <w:t>es el apoyo financiero, de cualquier forma, al terrorismo o a aquellos que lo fomentan, planifican o están implicados en el mismo. El terrorismo puede tener connotaciones políticas, religiosas y nacionales, dependiendo de cada país, aquellos que financian el terrorismo transfieren fondos que pueden tener un origen legal o ilícito, de manera tal que encubren su fuente y destino final, que es el apoyo a las actividades terroristas.</w:t>
      </w:r>
    </w:p>
    <w:p w14:paraId="223543CA">
      <w:pPr>
        <w:rPr>
          <w:rFonts w:ascii="Century Gothic" w:hAnsi="Century Gothic" w:cs="Arial"/>
          <w:b/>
          <w:sz w:val="22"/>
          <w:szCs w:val="22"/>
        </w:rPr>
      </w:pPr>
    </w:p>
    <w:p w14:paraId="7076668F">
      <w:pPr>
        <w:pStyle w:val="65"/>
        <w:numPr>
          <w:ilvl w:val="0"/>
          <w:numId w:val="4"/>
        </w:numPr>
        <w:rPr>
          <w:rFonts w:ascii="Century Gothic" w:hAnsi="Century Gothic" w:cs="Arial"/>
          <w:b/>
          <w:sz w:val="22"/>
          <w:szCs w:val="22"/>
        </w:rPr>
      </w:pPr>
      <w:r>
        <w:rPr>
          <w:rFonts w:ascii="Century Gothic" w:hAnsi="Century Gothic" w:cs="Arial"/>
          <w:b/>
          <w:sz w:val="22"/>
          <w:szCs w:val="22"/>
        </w:rPr>
        <w:t xml:space="preserve">GAFI: </w:t>
      </w:r>
      <w:r>
        <w:rPr>
          <w:rFonts w:ascii="Century Gothic" w:hAnsi="Century Gothic" w:cs="Arial"/>
          <w:sz w:val="22"/>
          <w:szCs w:val="22"/>
        </w:rPr>
        <w:t>son las siglas del Grupo de Acción Financiera Internacional que es un ente gubernamental establecido en 1989 cuyo objetivo es fijar estándares y promover la implementación efectiva de medidas legales, regulatorias y operativas para combatir el lavado de activos, el financiamiento del terrorismo y el financiamiento de la proliferación de armas de destrucción masiva y otras amenazas a la integridad del sistema financiero internacional. Las recomendaciones del GAFI constituyen un esquema internacional de medidas que cada país adapta a sus circunstancias particulares para combatir esos delitos.</w:t>
      </w:r>
    </w:p>
    <w:p w14:paraId="09497569">
      <w:pPr>
        <w:rPr>
          <w:rFonts w:ascii="Century Gothic" w:hAnsi="Century Gothic" w:cs="Arial"/>
          <w:b/>
          <w:sz w:val="22"/>
          <w:szCs w:val="22"/>
        </w:rPr>
      </w:pPr>
    </w:p>
    <w:p w14:paraId="622A018D">
      <w:pPr>
        <w:pStyle w:val="65"/>
        <w:numPr>
          <w:ilvl w:val="0"/>
          <w:numId w:val="4"/>
        </w:numPr>
        <w:rPr>
          <w:rFonts w:ascii="Century Gothic" w:hAnsi="Century Gothic" w:cs="Arial"/>
          <w:sz w:val="22"/>
          <w:szCs w:val="22"/>
        </w:rPr>
      </w:pPr>
      <w:r>
        <w:rPr>
          <w:rFonts w:ascii="Century Gothic" w:hAnsi="Century Gothic" w:cs="Arial"/>
          <w:b/>
          <w:bCs/>
          <w:sz w:val="22"/>
          <w:szCs w:val="22"/>
        </w:rPr>
        <w:t>Gestión de Riesgo de LA/FT:</w:t>
      </w:r>
      <w:r>
        <w:rPr>
          <w:rFonts w:ascii="Century Gothic" w:hAnsi="Century Gothic" w:cs="Arial"/>
          <w:sz w:val="22"/>
          <w:szCs w:val="22"/>
        </w:rPr>
        <w:t xml:space="preserve"> consiste en la adopción de políticas y procedimientos que permitan administrar el riesgo de LA/FT.</w:t>
      </w:r>
    </w:p>
    <w:p w14:paraId="008A7836">
      <w:pPr>
        <w:rPr>
          <w:rFonts w:ascii="Century Gothic" w:hAnsi="Century Gothic" w:cs="Arial"/>
          <w:sz w:val="22"/>
          <w:szCs w:val="22"/>
        </w:rPr>
      </w:pPr>
    </w:p>
    <w:p w14:paraId="5B325801">
      <w:pPr>
        <w:pStyle w:val="65"/>
        <w:numPr>
          <w:ilvl w:val="0"/>
          <w:numId w:val="4"/>
        </w:numPr>
        <w:rPr>
          <w:rFonts w:ascii="Century Gothic" w:hAnsi="Century Gothic" w:cs="Arial"/>
          <w:sz w:val="22"/>
          <w:szCs w:val="22"/>
        </w:rPr>
      </w:pPr>
      <w:r>
        <w:rPr>
          <w:rFonts w:ascii="Century Gothic" w:hAnsi="Century Gothic" w:cs="Arial"/>
          <w:b/>
          <w:sz w:val="22"/>
          <w:szCs w:val="22"/>
        </w:rPr>
        <w:t xml:space="preserve">Herramientas: </w:t>
      </w:r>
      <w:r>
        <w:rPr>
          <w:rFonts w:ascii="Century Gothic" w:hAnsi="Century Gothic" w:cs="Arial"/>
          <w:sz w:val="22"/>
          <w:szCs w:val="22"/>
        </w:rPr>
        <w:t>son los medios, mecanismos, instrumentos, y tecnología que utiliza la entidad para administrar que se presente el riesgo de LA/FT, y para detectar operaciones inusuales o sospechosas.</w:t>
      </w:r>
    </w:p>
    <w:p w14:paraId="3566F488">
      <w:pPr>
        <w:ind w:left="360"/>
        <w:rPr>
          <w:rFonts w:ascii="Century Gothic" w:hAnsi="Century Gothic" w:cs="Arial"/>
          <w:sz w:val="22"/>
          <w:szCs w:val="22"/>
          <w:lang w:val="es-ES"/>
        </w:rPr>
      </w:pPr>
    </w:p>
    <w:p w14:paraId="49BFE65D">
      <w:pPr>
        <w:pStyle w:val="65"/>
        <w:numPr>
          <w:ilvl w:val="0"/>
          <w:numId w:val="4"/>
        </w:numPr>
        <w:rPr>
          <w:rFonts w:ascii="Century Gothic" w:hAnsi="Century Gothic" w:cs="Arial"/>
          <w:sz w:val="22"/>
          <w:szCs w:val="22"/>
        </w:rPr>
      </w:pPr>
      <w:r>
        <w:rPr>
          <w:rFonts w:ascii="Century Gothic" w:hAnsi="Century Gothic" w:cs="Arial"/>
          <w:b/>
          <w:sz w:val="22"/>
          <w:szCs w:val="22"/>
        </w:rPr>
        <w:t xml:space="preserve">LA/FT: </w:t>
      </w:r>
      <w:r>
        <w:rPr>
          <w:rFonts w:ascii="Century Gothic" w:hAnsi="Century Gothic" w:cs="Arial"/>
          <w:sz w:val="22"/>
          <w:szCs w:val="22"/>
        </w:rPr>
        <w:t>abreviaturas que se utilizarán en el documento para Lavado de Activos y Financiación del Terrorismo.</w:t>
      </w:r>
    </w:p>
    <w:p w14:paraId="61F55945">
      <w:pPr>
        <w:rPr>
          <w:rFonts w:ascii="Century Gothic" w:hAnsi="Century Gothic" w:cs="Arial"/>
          <w:sz w:val="22"/>
          <w:szCs w:val="22"/>
        </w:rPr>
      </w:pPr>
    </w:p>
    <w:p w14:paraId="1C6EA3F4">
      <w:pPr>
        <w:pStyle w:val="65"/>
        <w:numPr>
          <w:ilvl w:val="0"/>
          <w:numId w:val="4"/>
        </w:numPr>
        <w:rPr>
          <w:rFonts w:ascii="Century Gothic" w:hAnsi="Century Gothic" w:cs="Arial"/>
          <w:color w:val="000000"/>
          <w:sz w:val="22"/>
          <w:szCs w:val="22"/>
        </w:rPr>
      </w:pPr>
      <w:r>
        <w:rPr>
          <w:rFonts w:ascii="Century Gothic" w:hAnsi="Century Gothic" w:cs="Arial"/>
          <w:b/>
          <w:sz w:val="22"/>
          <w:szCs w:val="22"/>
        </w:rPr>
        <w:t>Lavado de activos</w:t>
      </w:r>
      <w:r>
        <w:rPr>
          <w:rFonts w:ascii="Century Gothic" w:hAnsi="Century Gothic" w:cs="Arial"/>
          <w:sz w:val="22"/>
          <w:szCs w:val="22"/>
        </w:rPr>
        <w:t xml:space="preserve">: </w:t>
      </w:r>
      <w:r>
        <w:rPr>
          <w:rFonts w:ascii="Century Gothic" w:hAnsi="Century Gothic" w:cs="Arial"/>
          <w:color w:val="000000"/>
          <w:sz w:val="22"/>
          <w:szCs w:val="22"/>
        </w:rPr>
        <w:t>el lavado de activos es el proceso mediante el cual organizaciones criminales o los individuos implicados en ellas buscan dar apariencia de legalidad a los recursos generados de sus actividades ilícitas. Los delincuentes hacen esto para ocultar las fuentes, cambiando la forma, o movilizando el dinero hacia un lugar donde es menos posible que llame la atención.</w:t>
      </w:r>
    </w:p>
    <w:p w14:paraId="5B949318">
      <w:pPr>
        <w:rPr>
          <w:rFonts w:ascii="Century Gothic" w:hAnsi="Century Gothic" w:cs="Arial"/>
          <w:color w:val="000000"/>
          <w:sz w:val="22"/>
          <w:szCs w:val="22"/>
        </w:rPr>
      </w:pPr>
    </w:p>
    <w:p w14:paraId="27247502">
      <w:pPr>
        <w:pStyle w:val="65"/>
        <w:numPr>
          <w:ilvl w:val="0"/>
          <w:numId w:val="4"/>
        </w:numPr>
        <w:rPr>
          <w:rFonts w:ascii="Century Gothic" w:hAnsi="Century Gothic" w:cs="Arial"/>
          <w:sz w:val="22"/>
          <w:szCs w:val="22"/>
        </w:rPr>
      </w:pPr>
      <w:r>
        <w:rPr>
          <w:rFonts w:ascii="Century Gothic" w:hAnsi="Century Gothic" w:cs="Arial"/>
          <w:b/>
          <w:sz w:val="22"/>
          <w:szCs w:val="22"/>
        </w:rPr>
        <w:t>Listas restrictivas o Listas vinculantes:</w:t>
      </w:r>
      <w:r>
        <w:rPr>
          <w:rFonts w:ascii="Century Gothic" w:hAnsi="Century Gothic" w:cs="Arial"/>
          <w:sz w:val="22"/>
          <w:szCs w:val="22"/>
        </w:rPr>
        <w:t xml:space="preserve"> son aquellas bases de datos nacionales e internacionales que recogen información, reportes y antecedentes de diferentes organismos, tratándose de personas naturales y jurídicas, que pueden presentar actividades sospechosas, investigaciones, procesos o condenas por los delitos de Lavado de Activos y Financiación del terrorismo. La única lista vinculante para Colombia es la lista ONU, administrada por el Consejo de Seguridad de las Naciones Unidas, lista que resulta vinculante porque Colombia es miembro de las Naciones Unidas, y la resolución a través de la cual se creó la lista es obligatoria para todos los estados miembros.</w:t>
      </w:r>
    </w:p>
    <w:p w14:paraId="25B4BA71">
      <w:pPr>
        <w:rPr>
          <w:rFonts w:ascii="Century Gothic" w:hAnsi="Century Gothic" w:cs="Arial"/>
          <w:sz w:val="22"/>
          <w:szCs w:val="22"/>
        </w:rPr>
      </w:pPr>
    </w:p>
    <w:p w14:paraId="21615426">
      <w:pPr>
        <w:pStyle w:val="65"/>
        <w:numPr>
          <w:ilvl w:val="0"/>
          <w:numId w:val="4"/>
        </w:numPr>
        <w:rPr>
          <w:rFonts w:ascii="Century Gothic" w:hAnsi="Century Gothic" w:cs="Arial"/>
          <w:sz w:val="22"/>
          <w:szCs w:val="22"/>
        </w:rPr>
      </w:pPr>
      <w:r>
        <w:rPr>
          <w:rFonts w:ascii="Century Gothic" w:hAnsi="Century Gothic" w:cs="Arial"/>
          <w:b/>
          <w:sz w:val="22"/>
          <w:szCs w:val="22"/>
        </w:rPr>
        <w:t>Monitoreo:</w:t>
      </w:r>
      <w:r>
        <w:rPr>
          <w:rFonts w:ascii="Century Gothic" w:hAnsi="Century Gothic" w:cs="Arial"/>
          <w:sz w:val="22"/>
          <w:szCs w:val="22"/>
        </w:rPr>
        <w:t xml:space="preserve"> evaluación periódica de las políticas y procedimientos empleados en la entidad para optimizar la eficiencia de los reportes.</w:t>
      </w:r>
    </w:p>
    <w:p w14:paraId="2DE5FA24">
      <w:pPr>
        <w:rPr>
          <w:rFonts w:ascii="Century Gothic" w:hAnsi="Century Gothic" w:cs="Arial"/>
          <w:sz w:val="22"/>
          <w:szCs w:val="22"/>
        </w:rPr>
      </w:pPr>
    </w:p>
    <w:p w14:paraId="6ABA03BA">
      <w:pPr>
        <w:pStyle w:val="65"/>
        <w:numPr>
          <w:ilvl w:val="0"/>
          <w:numId w:val="4"/>
        </w:numPr>
        <w:rPr>
          <w:rFonts w:ascii="Century Gothic" w:hAnsi="Century Gothic" w:cs="Arial"/>
          <w:sz w:val="22"/>
          <w:szCs w:val="22"/>
        </w:rPr>
      </w:pPr>
      <w:r>
        <w:rPr>
          <w:rFonts w:ascii="Century Gothic" w:hAnsi="Century Gothic" w:cs="Arial"/>
          <w:b/>
          <w:bCs/>
          <w:sz w:val="22"/>
          <w:szCs w:val="22"/>
        </w:rPr>
        <w:t>OFAC - Oficina de control de Activos Extranjeros de Estados Unidos (traducción al español):</w:t>
      </w:r>
      <w:r>
        <w:rPr>
          <w:rFonts w:ascii="Century Gothic" w:hAnsi="Century Gothic" w:cs="Arial"/>
          <w:sz w:val="22"/>
          <w:szCs w:val="22"/>
        </w:rPr>
        <w:t xml:space="preserve"> es una oficina del Departamento del Tesoro de los Estados Unidos que identifica países, terroristas y narcotraficantes sancionables de acuerdo con las leyes de EEUU. Emite la lista OFAC también conocida como lista Clinton (definición tomada de "Blanqueo internacional de Capitales" de Juan Miguel del Cid).</w:t>
      </w:r>
    </w:p>
    <w:p w14:paraId="7D2DEFCD">
      <w:pPr>
        <w:rPr>
          <w:rFonts w:ascii="Century Gothic" w:hAnsi="Century Gothic" w:cs="Arial"/>
          <w:sz w:val="22"/>
          <w:szCs w:val="22"/>
        </w:rPr>
      </w:pPr>
    </w:p>
    <w:p w14:paraId="665587A0">
      <w:pPr>
        <w:pStyle w:val="65"/>
        <w:numPr>
          <w:ilvl w:val="0"/>
          <w:numId w:val="4"/>
        </w:numPr>
        <w:rPr>
          <w:rFonts w:ascii="Century Gothic" w:hAnsi="Century Gothic" w:cs="Arial"/>
          <w:sz w:val="22"/>
          <w:szCs w:val="22"/>
        </w:rPr>
      </w:pPr>
      <w:r>
        <w:rPr>
          <w:rFonts w:ascii="Century Gothic" w:hAnsi="Century Gothic" w:cs="Arial"/>
          <w:b/>
          <w:sz w:val="22"/>
          <w:szCs w:val="22"/>
        </w:rPr>
        <w:t>Omisión de denuncia particular:</w:t>
      </w:r>
      <w:r>
        <w:rPr>
          <w:rFonts w:ascii="Century Gothic" w:hAnsi="Century Gothic" w:cs="Arial"/>
          <w:sz w:val="22"/>
          <w:szCs w:val="22"/>
        </w:rPr>
        <w:t xml:space="preserve"> consiste en tener conocimiento de la comisión de los delitos señaladas en el artículo 441 del código Penal y no denunciarlos ante las autoridades competentes.</w:t>
      </w:r>
    </w:p>
    <w:p w14:paraId="6C3B0EAB">
      <w:pPr>
        <w:pStyle w:val="65"/>
        <w:rPr>
          <w:rFonts w:ascii="Century Gothic" w:hAnsi="Century Gothic" w:cs="Arial"/>
          <w:sz w:val="22"/>
          <w:szCs w:val="22"/>
        </w:rPr>
      </w:pPr>
    </w:p>
    <w:p w14:paraId="24BCA5AE">
      <w:pPr>
        <w:pStyle w:val="65"/>
        <w:numPr>
          <w:ilvl w:val="0"/>
          <w:numId w:val="4"/>
        </w:numPr>
        <w:rPr>
          <w:rFonts w:ascii="Century Gothic" w:hAnsi="Century Gothic" w:cs="Arial"/>
          <w:sz w:val="22"/>
          <w:szCs w:val="22"/>
        </w:rPr>
      </w:pPr>
      <w:bookmarkStart w:id="14" w:name="_Toc333831316"/>
      <w:r>
        <w:rPr>
          <w:rFonts w:ascii="Century Gothic" w:hAnsi="Century Gothic" w:cs="Arial"/>
          <w:b/>
          <w:sz w:val="22"/>
          <w:szCs w:val="22"/>
        </w:rPr>
        <w:t>Ocultar</w:t>
      </w:r>
      <w:bookmarkEnd w:id="14"/>
      <w:r>
        <w:rPr>
          <w:rFonts w:ascii="Century Gothic" w:hAnsi="Century Gothic" w:cs="Arial"/>
          <w:sz w:val="22"/>
          <w:szCs w:val="22"/>
        </w:rPr>
        <w:t>: Esconder, tapar, disfrazar la verdad, encubrir; es callar advertidamente lo que se pudiera o debiera hacer o decir en el cumplimiento de sus deberes, ya sea como directivo, funcionario o usuario de la entidad.</w:t>
      </w:r>
    </w:p>
    <w:p w14:paraId="742CDB0D">
      <w:pPr>
        <w:ind w:left="426"/>
        <w:rPr>
          <w:rFonts w:ascii="Century Gothic" w:hAnsi="Century Gothic" w:cs="Arial"/>
          <w:sz w:val="22"/>
          <w:szCs w:val="22"/>
        </w:rPr>
      </w:pPr>
    </w:p>
    <w:p w14:paraId="77DC6F91">
      <w:pPr>
        <w:pStyle w:val="65"/>
        <w:numPr>
          <w:ilvl w:val="0"/>
          <w:numId w:val="4"/>
        </w:numPr>
        <w:rPr>
          <w:rFonts w:ascii="Century Gothic" w:hAnsi="Century Gothic" w:cs="Arial" w:eastAsiaTheme="minorHAnsi"/>
          <w:sz w:val="22"/>
          <w:szCs w:val="22"/>
          <w:lang w:val="es-CO"/>
        </w:rPr>
      </w:pPr>
      <w:bookmarkStart w:id="15" w:name="_Toc333831318"/>
      <w:r>
        <w:rPr>
          <w:rFonts w:ascii="Century Gothic" w:hAnsi="Century Gothic" w:cs="Arial"/>
          <w:b/>
          <w:sz w:val="22"/>
          <w:szCs w:val="22"/>
        </w:rPr>
        <w:t>Operación Inusual</w:t>
      </w:r>
      <w:bookmarkEnd w:id="15"/>
      <w:r>
        <w:rPr>
          <w:rFonts w:ascii="Century Gothic" w:hAnsi="Century Gothic" w:cs="Arial"/>
          <w:sz w:val="22"/>
          <w:szCs w:val="22"/>
        </w:rPr>
        <w:t>: Son inusuales aquellas operaciones cuya cuantía o características no guarden relación con la actividad económica de los asociados o usuarios, o que por su número, por las cantidades transadas o por sus características particulares</w:t>
      </w:r>
      <w:r>
        <w:rPr>
          <w:rFonts w:ascii="Century Gothic" w:hAnsi="Century Gothic" w:cs="Arial" w:eastAsiaTheme="minorHAnsi"/>
          <w:sz w:val="22"/>
          <w:szCs w:val="22"/>
          <w:lang w:val="es-CO"/>
        </w:rPr>
        <w:t xml:space="preserve">, se salen de los criterios y parámetros de normalidad establecidos por escrito por  la Entidad en el manual, o respecto de las cuales la Entidad no ha encontrado explicación o justificación que se considere razonable. </w:t>
      </w:r>
    </w:p>
    <w:p w14:paraId="5EB0F29A">
      <w:pPr>
        <w:pStyle w:val="65"/>
        <w:ind w:left="786"/>
        <w:rPr>
          <w:rFonts w:ascii="Century Gothic" w:hAnsi="Century Gothic" w:cs="Arial" w:eastAsiaTheme="minorHAnsi"/>
          <w:sz w:val="22"/>
          <w:szCs w:val="22"/>
        </w:rPr>
      </w:pPr>
    </w:p>
    <w:p w14:paraId="4557F18F">
      <w:pPr>
        <w:pStyle w:val="65"/>
        <w:numPr>
          <w:ilvl w:val="0"/>
          <w:numId w:val="4"/>
        </w:numPr>
        <w:rPr>
          <w:rFonts w:ascii="Century Gothic" w:hAnsi="Century Gothic" w:cs="Arial" w:eastAsiaTheme="minorHAnsi"/>
          <w:sz w:val="22"/>
          <w:szCs w:val="22"/>
          <w:lang w:eastAsia="en-US"/>
        </w:rPr>
      </w:pPr>
      <w:bookmarkStart w:id="16" w:name="_Toc333831319"/>
      <w:r>
        <w:rPr>
          <w:rFonts w:ascii="Century Gothic" w:hAnsi="Century Gothic" w:cs="Arial"/>
          <w:b/>
          <w:sz w:val="22"/>
          <w:szCs w:val="22"/>
        </w:rPr>
        <w:t>Operación Sospechosa</w:t>
      </w:r>
      <w:bookmarkEnd w:id="16"/>
      <w:r>
        <w:rPr>
          <w:rFonts w:ascii="Century Gothic" w:hAnsi="Century Gothic" w:cs="Arial"/>
          <w:sz w:val="22"/>
          <w:szCs w:val="22"/>
        </w:rPr>
        <w:t xml:space="preserve">: </w:t>
      </w:r>
      <w:r>
        <w:rPr>
          <w:rFonts w:ascii="Century Gothic" w:hAnsi="Century Gothic" w:cs="Arial" w:eastAsiaTheme="minorHAnsi"/>
          <w:sz w:val="22"/>
          <w:szCs w:val="22"/>
          <w:lang w:eastAsia="en-US"/>
        </w:rPr>
        <w:t xml:space="preserve">Son  operaciones que por su magnitud, falta de habitualidad, velocidad de rotación y características de complejidad, pudieran no tener justificación económica u objeto lícito. “La confrontación de las operaciones detectadas como inusuales, con la información acerca de los clientes o de los mercados, debe permitir, conforme el buen criterio de la Entidad, identificar si una operación es o no sospechosa. </w:t>
      </w:r>
    </w:p>
    <w:p w14:paraId="59DADF34">
      <w:pPr>
        <w:pStyle w:val="65"/>
        <w:ind w:left="786"/>
        <w:rPr>
          <w:rFonts w:ascii="Century Gothic" w:hAnsi="Century Gothic" w:cs="Arial" w:eastAsiaTheme="minorHAnsi"/>
          <w:sz w:val="22"/>
          <w:szCs w:val="22"/>
          <w:lang w:eastAsia="en-US"/>
        </w:rPr>
      </w:pPr>
    </w:p>
    <w:p w14:paraId="3CB1A914">
      <w:pPr>
        <w:pStyle w:val="65"/>
        <w:ind w:left="786"/>
        <w:rPr>
          <w:rFonts w:ascii="Century Gothic" w:hAnsi="Century Gothic" w:cs="Arial" w:eastAsiaTheme="minorHAnsi"/>
          <w:sz w:val="22"/>
          <w:szCs w:val="22"/>
          <w:lang w:eastAsia="en-US"/>
        </w:rPr>
      </w:pPr>
      <w:r>
        <w:rPr>
          <w:rFonts w:ascii="Century Gothic" w:hAnsi="Century Gothic" w:cs="Arial" w:eastAsiaTheme="minorHAnsi"/>
          <w:sz w:val="22"/>
          <w:szCs w:val="22"/>
          <w:lang w:eastAsia="en-US"/>
        </w:rPr>
        <w:t>Con todo, la entidad podrá considerar como sospechosas aquellas operaciones del cliente que, no obstante mantenerse dentro de los parámetros de su perfil financiero, la entidad con buen criterio estime en todo caso irregulares o extrañas, a tal punto que escapan de lo simplemente inusual.</w:t>
      </w:r>
    </w:p>
    <w:p w14:paraId="489A2A44">
      <w:pPr>
        <w:rPr>
          <w:rFonts w:ascii="Century Gothic" w:hAnsi="Century Gothic" w:cs="Arial"/>
          <w:sz w:val="22"/>
          <w:szCs w:val="22"/>
        </w:rPr>
      </w:pPr>
    </w:p>
    <w:p w14:paraId="2BF96B67">
      <w:pPr>
        <w:pStyle w:val="65"/>
        <w:numPr>
          <w:ilvl w:val="0"/>
          <w:numId w:val="4"/>
        </w:numPr>
        <w:rPr>
          <w:rFonts w:ascii="Century Gothic" w:hAnsi="Century Gothic" w:cs="Arial"/>
          <w:sz w:val="22"/>
          <w:szCs w:val="22"/>
        </w:rPr>
      </w:pPr>
      <w:r>
        <w:rPr>
          <w:rFonts w:ascii="Century Gothic" w:hAnsi="Century Gothic" w:cs="Arial"/>
          <w:b/>
          <w:sz w:val="22"/>
          <w:szCs w:val="22"/>
        </w:rPr>
        <w:t>PEP - Personas Expuestas Públicamente</w:t>
      </w:r>
      <w:r>
        <w:rPr>
          <w:rFonts w:ascii="Century Gothic" w:hAnsi="Century Gothic" w:cs="Arial"/>
          <w:sz w:val="22"/>
          <w:szCs w:val="22"/>
        </w:rPr>
        <w:t>: abreviaturas que se utilizarán en el documento para Personas expuestas públicamente. Son las personas nacionales o extranjeras que por razón de su cargo manejan recursos públicos, tienen algún poder público o gozan de reconocimiento público. por ejemplo, jefes de Estado, políticos de alta jerarquía, funcionarios gubernamentales, judiciales o militares de alta jerarquía, altos ejecutivos de empresas estatales, funcionarios importantes de partidos políticos.</w:t>
      </w:r>
    </w:p>
    <w:p w14:paraId="345C812E">
      <w:pPr>
        <w:pStyle w:val="65"/>
        <w:ind w:left="786"/>
        <w:rPr>
          <w:rFonts w:ascii="Century Gothic" w:hAnsi="Century Gothic" w:cs="Arial"/>
          <w:sz w:val="22"/>
          <w:szCs w:val="22"/>
        </w:rPr>
      </w:pPr>
    </w:p>
    <w:p w14:paraId="630686E6">
      <w:pPr>
        <w:pStyle w:val="65"/>
        <w:numPr>
          <w:ilvl w:val="0"/>
          <w:numId w:val="4"/>
        </w:numPr>
        <w:rPr>
          <w:rFonts w:ascii="Century Gothic" w:hAnsi="Century Gothic" w:cs="Arial" w:eastAsiaTheme="minorHAnsi"/>
          <w:sz w:val="22"/>
          <w:szCs w:val="22"/>
          <w:lang w:eastAsia="en-US"/>
        </w:rPr>
      </w:pPr>
      <w:bookmarkStart w:id="17" w:name="_Toc333831320"/>
      <w:r>
        <w:rPr>
          <w:rFonts w:ascii="Century Gothic" w:hAnsi="Century Gothic" w:cs="Arial"/>
          <w:b/>
          <w:sz w:val="22"/>
          <w:szCs w:val="22"/>
        </w:rPr>
        <w:t>Perfil del Asociado</w:t>
      </w:r>
      <w:bookmarkEnd w:id="17"/>
      <w:r>
        <w:rPr>
          <w:rFonts w:ascii="Century Gothic" w:hAnsi="Century Gothic" w:cs="Arial"/>
          <w:sz w:val="22"/>
          <w:szCs w:val="22"/>
        </w:rPr>
        <w:t xml:space="preserve">: </w:t>
      </w:r>
      <w:r>
        <w:rPr>
          <w:rFonts w:ascii="Century Gothic" w:hAnsi="Century Gothic" w:cs="Arial" w:eastAsiaTheme="minorHAnsi"/>
          <w:sz w:val="22"/>
          <w:szCs w:val="22"/>
          <w:lang w:eastAsia="en-US"/>
        </w:rPr>
        <w:t xml:space="preserve">Conjunto de atributos y características particulares que conforman el entorno de un asociado o persona vinculada contractualmente, que incluye sus datos personales, ubicación, actividad, profesión o tipo de negocio, magnitud de sus datos financieros, etc. </w:t>
      </w:r>
    </w:p>
    <w:p w14:paraId="376E3FB6">
      <w:pPr>
        <w:pStyle w:val="65"/>
        <w:ind w:left="360"/>
        <w:rPr>
          <w:rFonts w:ascii="Century Gothic" w:hAnsi="Century Gothic" w:cs="Arial"/>
          <w:sz w:val="22"/>
          <w:szCs w:val="22"/>
        </w:rPr>
      </w:pPr>
    </w:p>
    <w:p w14:paraId="0AC60A97">
      <w:pPr>
        <w:pStyle w:val="65"/>
        <w:numPr>
          <w:ilvl w:val="0"/>
          <w:numId w:val="4"/>
        </w:numPr>
        <w:rPr>
          <w:rFonts w:ascii="Century Gothic" w:hAnsi="Century Gothic" w:cs="Arial"/>
          <w:sz w:val="22"/>
          <w:szCs w:val="22"/>
        </w:rPr>
      </w:pPr>
      <w:r>
        <w:rPr>
          <w:rFonts w:ascii="Century Gothic" w:hAnsi="Century Gothic" w:cs="Arial"/>
          <w:b/>
          <w:sz w:val="22"/>
          <w:szCs w:val="22"/>
        </w:rPr>
        <w:t xml:space="preserve">Prevención de riesgo de LA/FT en el sector de Economía Solidaria: </w:t>
      </w:r>
      <w:r>
        <w:rPr>
          <w:rFonts w:ascii="Century Gothic" w:hAnsi="Century Gothic" w:cs="Arial"/>
          <w:sz w:val="22"/>
          <w:szCs w:val="22"/>
        </w:rPr>
        <w:t>es la implementación de políticas y procedimientos que incluyan mecanismos y controles de información, relacionadas con la actividad de Lavado de Activos y Financiación del Terrorismo, con lo cual la gestión de la organización genera una disuasión mediada, como prevención general dirigida a las apersonas y organizaciones involucradas en estas actividades.</w:t>
      </w:r>
    </w:p>
    <w:p w14:paraId="6A90F6B4">
      <w:pPr>
        <w:rPr>
          <w:rFonts w:ascii="Century Gothic" w:hAnsi="Century Gothic" w:cs="Arial"/>
          <w:sz w:val="22"/>
          <w:szCs w:val="22"/>
        </w:rPr>
      </w:pPr>
    </w:p>
    <w:p w14:paraId="56554BE7">
      <w:pPr>
        <w:pStyle w:val="65"/>
        <w:numPr>
          <w:ilvl w:val="0"/>
          <w:numId w:val="4"/>
        </w:numPr>
        <w:rPr>
          <w:rFonts w:ascii="Century Gothic" w:hAnsi="Century Gothic" w:cs="Arial"/>
          <w:sz w:val="22"/>
          <w:szCs w:val="22"/>
        </w:rPr>
      </w:pPr>
      <w:r>
        <w:rPr>
          <w:rFonts w:ascii="Century Gothic" w:hAnsi="Century Gothic" w:cs="Arial"/>
          <w:b/>
          <w:sz w:val="22"/>
          <w:szCs w:val="22"/>
        </w:rPr>
        <w:t xml:space="preserve">Producto: </w:t>
      </w:r>
      <w:r>
        <w:rPr>
          <w:rFonts w:ascii="Century Gothic" w:hAnsi="Century Gothic" w:cs="Arial"/>
          <w:sz w:val="22"/>
          <w:szCs w:val="22"/>
        </w:rPr>
        <w:t>son las operaciones legalmente autorizadas que pueden adelantar las entidades mediante la celebración de un contrato.</w:t>
      </w:r>
    </w:p>
    <w:p w14:paraId="17610473">
      <w:pPr>
        <w:pStyle w:val="65"/>
        <w:rPr>
          <w:rFonts w:ascii="Century Gothic" w:hAnsi="Century Gothic" w:cs="Arial"/>
          <w:sz w:val="22"/>
          <w:szCs w:val="22"/>
        </w:rPr>
      </w:pPr>
    </w:p>
    <w:p w14:paraId="79D2645C">
      <w:pPr>
        <w:pStyle w:val="65"/>
        <w:numPr>
          <w:ilvl w:val="0"/>
          <w:numId w:val="4"/>
        </w:numPr>
        <w:rPr>
          <w:rFonts w:ascii="Century Gothic" w:hAnsi="Century Gothic" w:cs="Arial" w:eastAsiaTheme="minorHAnsi"/>
          <w:sz w:val="22"/>
          <w:szCs w:val="22"/>
          <w:lang w:eastAsia="en-US"/>
        </w:rPr>
      </w:pPr>
      <w:bookmarkStart w:id="18" w:name="_Toc333831324"/>
      <w:r>
        <w:rPr>
          <w:rFonts w:ascii="Century Gothic" w:hAnsi="Century Gothic" w:cs="Arial"/>
          <w:b/>
          <w:sz w:val="22"/>
          <w:szCs w:val="22"/>
        </w:rPr>
        <w:t>Relacionados Contractual</w:t>
      </w:r>
      <w:bookmarkEnd w:id="18"/>
      <w:r>
        <w:rPr>
          <w:rFonts w:ascii="Century Gothic" w:hAnsi="Century Gothic" w:cs="Arial"/>
          <w:b/>
          <w:sz w:val="22"/>
          <w:szCs w:val="22"/>
        </w:rPr>
        <w:t xml:space="preserve"> (R.C)</w:t>
      </w:r>
      <w:r>
        <w:rPr>
          <w:rFonts w:ascii="Century Gothic" w:hAnsi="Century Gothic" w:cs="Arial"/>
          <w:sz w:val="22"/>
          <w:szCs w:val="22"/>
        </w:rPr>
        <w:t xml:space="preserve">: </w:t>
      </w:r>
      <w:r>
        <w:rPr>
          <w:rFonts w:ascii="Century Gothic" w:hAnsi="Century Gothic" w:cs="Arial" w:eastAsiaTheme="minorHAnsi"/>
          <w:sz w:val="22"/>
          <w:szCs w:val="22"/>
          <w:lang w:eastAsia="en-US"/>
        </w:rPr>
        <w:t xml:space="preserve">Son aquellas personas naturales o jurídicas </w:t>
      </w:r>
      <w:r>
        <w:rPr>
          <w:rFonts w:ascii="Century Gothic" w:hAnsi="Century Gothic" w:cs="Arial" w:eastAsiaTheme="minorHAnsi"/>
          <w:i/>
          <w:sz w:val="22"/>
          <w:szCs w:val="22"/>
          <w:lang w:eastAsia="en-US"/>
        </w:rPr>
        <w:t>diferentes a los asociados</w:t>
      </w:r>
      <w:r>
        <w:rPr>
          <w:rFonts w:ascii="Century Gothic" w:hAnsi="Century Gothic" w:cs="Arial" w:eastAsiaTheme="minorHAnsi"/>
          <w:sz w:val="22"/>
          <w:szCs w:val="22"/>
          <w:lang w:eastAsia="en-US"/>
        </w:rPr>
        <w:t>, con quienes la Entidad establece una relación contractual para la adquisición de bienes o la prestación de un servicio, los relacionados contractuales pueden ser: Proveedores, codeudores, funcionarios, consultores, asesores, representantes legales de personas jurídicas, tutores de menores, entre otros.</w:t>
      </w:r>
    </w:p>
    <w:p w14:paraId="214DC811">
      <w:pPr>
        <w:rPr>
          <w:rFonts w:ascii="Century Gothic" w:hAnsi="Century Gothic" w:cs="Arial"/>
          <w:sz w:val="22"/>
          <w:szCs w:val="22"/>
        </w:rPr>
      </w:pPr>
    </w:p>
    <w:p w14:paraId="40010446">
      <w:pPr>
        <w:pStyle w:val="65"/>
        <w:numPr>
          <w:ilvl w:val="0"/>
          <w:numId w:val="4"/>
        </w:numPr>
        <w:rPr>
          <w:rFonts w:ascii="Century Gothic" w:hAnsi="Century Gothic"/>
          <w:sz w:val="22"/>
          <w:szCs w:val="22"/>
        </w:rPr>
      </w:pPr>
      <w:r>
        <w:rPr>
          <w:rFonts w:ascii="Century Gothic" w:hAnsi="Century Gothic"/>
          <w:b/>
          <w:sz w:val="22"/>
          <w:szCs w:val="22"/>
        </w:rPr>
        <w:t>Riesgo de Lavado de Activos y de la Financiación del Terrorismo</w:t>
      </w:r>
      <w:r>
        <w:rPr>
          <w:rFonts w:ascii="Century Gothic" w:hAnsi="Century Gothic"/>
          <w:sz w:val="22"/>
          <w:szCs w:val="22"/>
        </w:rPr>
        <w:t>: se entiende como la posibilidad de pérdida o daño que puede sufrir una entidad por su propensión a ser utilizada directamente o a través de sus operaciones como instrumento para lavado de activos y/o canalización de recursos hacia la realización de actividades terroristas, o cuando se pretenda el ocultamiento de activos provenientes de dichas actividades.</w:t>
      </w:r>
    </w:p>
    <w:p w14:paraId="020DD1F1">
      <w:pPr>
        <w:rPr>
          <w:rFonts w:ascii="Century Gothic" w:hAnsi="Century Gothic"/>
          <w:sz w:val="22"/>
          <w:szCs w:val="22"/>
        </w:rPr>
      </w:pPr>
    </w:p>
    <w:p w14:paraId="673BBC3A">
      <w:pPr>
        <w:pStyle w:val="65"/>
        <w:numPr>
          <w:ilvl w:val="0"/>
          <w:numId w:val="4"/>
        </w:numPr>
        <w:rPr>
          <w:rFonts w:ascii="Century Gothic" w:hAnsi="Century Gothic" w:cs="Arial"/>
          <w:sz w:val="22"/>
          <w:szCs w:val="22"/>
        </w:rPr>
      </w:pPr>
      <w:r>
        <w:rPr>
          <w:rFonts w:ascii="Century Gothic" w:hAnsi="Century Gothic" w:cs="Arial"/>
          <w:b/>
          <w:sz w:val="22"/>
          <w:szCs w:val="22"/>
        </w:rPr>
        <w:t>Riesgos Asociados a LA/FT:</w:t>
      </w:r>
      <w:r>
        <w:rPr>
          <w:rFonts w:ascii="Century Gothic" w:hAnsi="Century Gothic" w:cs="Arial"/>
          <w:sz w:val="22"/>
          <w:szCs w:val="22"/>
        </w:rPr>
        <w:t xml:space="preserve"> son los riesgos a través de los cuales se podría materializar el riesgo de LA/FT, estos son: reputacional, legal, operativo y contagio, a los que se expone la entidad, con el consecuente efecto económico negativo que ello puede representar para su estabilidad financiera cuando es utilizada para tales actividades.</w:t>
      </w:r>
    </w:p>
    <w:p w14:paraId="79B0E751">
      <w:pPr>
        <w:rPr>
          <w:rFonts w:ascii="Century Gothic" w:hAnsi="Century Gothic" w:cs="Arial"/>
          <w:sz w:val="22"/>
          <w:szCs w:val="22"/>
        </w:rPr>
      </w:pPr>
    </w:p>
    <w:p w14:paraId="12A71500">
      <w:pPr>
        <w:pStyle w:val="65"/>
        <w:numPr>
          <w:ilvl w:val="0"/>
          <w:numId w:val="4"/>
        </w:numPr>
        <w:rPr>
          <w:rFonts w:ascii="Century Gothic" w:hAnsi="Century Gothic" w:cs="Arial"/>
          <w:sz w:val="22"/>
          <w:szCs w:val="22"/>
        </w:rPr>
      </w:pPr>
      <w:r>
        <w:rPr>
          <w:rFonts w:ascii="Century Gothic" w:hAnsi="Century Gothic" w:cs="Arial"/>
          <w:b/>
          <w:sz w:val="22"/>
          <w:szCs w:val="22"/>
        </w:rPr>
        <w:t>Riesgo de Contagio:</w:t>
      </w:r>
      <w:r>
        <w:rPr>
          <w:rFonts w:ascii="Century Gothic" w:hAnsi="Century Gothic" w:cs="Arial"/>
          <w:sz w:val="22"/>
          <w:szCs w:val="22"/>
        </w:rPr>
        <w:t xml:space="preserve"> es la posibilidad de pérdida que una entidad puede sufrir, directa o indirectamente, por una acción o experiencia de un vinculado.</w:t>
      </w:r>
    </w:p>
    <w:p w14:paraId="2EDD5D2B">
      <w:pPr>
        <w:rPr>
          <w:rFonts w:ascii="Century Gothic" w:hAnsi="Century Gothic" w:cs="Arial"/>
          <w:sz w:val="22"/>
          <w:szCs w:val="22"/>
        </w:rPr>
      </w:pPr>
    </w:p>
    <w:p w14:paraId="7D4C0EFD">
      <w:pPr>
        <w:pStyle w:val="65"/>
        <w:numPr>
          <w:ilvl w:val="0"/>
          <w:numId w:val="4"/>
        </w:numPr>
        <w:rPr>
          <w:rFonts w:ascii="Century Gothic" w:hAnsi="Century Gothic" w:cs="Arial"/>
          <w:sz w:val="22"/>
          <w:szCs w:val="22"/>
        </w:rPr>
      </w:pPr>
      <w:r>
        <w:rPr>
          <w:rFonts w:ascii="Century Gothic" w:hAnsi="Century Gothic" w:cs="Arial"/>
          <w:b/>
          <w:sz w:val="22"/>
          <w:szCs w:val="22"/>
        </w:rPr>
        <w:t>El vinculado</w:t>
      </w:r>
      <w:r>
        <w:rPr>
          <w:rFonts w:ascii="Century Gothic" w:hAnsi="Century Gothic" w:cs="Arial"/>
          <w:sz w:val="22"/>
          <w:szCs w:val="22"/>
        </w:rPr>
        <w:t xml:space="preserve"> es el relacionado o asociado. Incluye personas naturales o jurídicas que tienen posibilidad de ejercer influencia sobre la entidad.</w:t>
      </w:r>
    </w:p>
    <w:p w14:paraId="69E7EDFA">
      <w:pPr>
        <w:rPr>
          <w:rFonts w:ascii="Century Gothic" w:hAnsi="Century Gothic" w:cs="Arial"/>
          <w:sz w:val="22"/>
          <w:szCs w:val="22"/>
        </w:rPr>
      </w:pPr>
    </w:p>
    <w:p w14:paraId="01A18995">
      <w:pPr>
        <w:pStyle w:val="65"/>
        <w:numPr>
          <w:ilvl w:val="0"/>
          <w:numId w:val="4"/>
        </w:numPr>
        <w:rPr>
          <w:rFonts w:ascii="Century Gothic" w:hAnsi="Century Gothic" w:cs="Arial"/>
          <w:sz w:val="22"/>
          <w:szCs w:val="22"/>
        </w:rPr>
      </w:pPr>
      <w:r>
        <w:rPr>
          <w:rFonts w:ascii="Century Gothic" w:hAnsi="Century Gothic" w:cs="Arial"/>
          <w:b/>
          <w:sz w:val="22"/>
          <w:szCs w:val="22"/>
        </w:rPr>
        <w:t>Riesgo Legal:</w:t>
      </w:r>
      <w:r>
        <w:rPr>
          <w:rFonts w:ascii="Century Gothic" w:hAnsi="Century Gothic" w:cs="Arial"/>
          <w:sz w:val="22"/>
          <w:szCs w:val="22"/>
        </w:rPr>
        <w:t xml:space="preserve"> es la posibilidad de pérdida en que incurre una entidad al ser sancionada u obligada a indemnizar daños como resultado del incumplimiento de normas o regulaciones y obligaciones contractuales, fallas en los contratos y transacciones derivadas de actuaciones malintencionadas, negligencia o actos involuntarios que afecten la formalización o ejecución de contratos o transacciones.</w:t>
      </w:r>
    </w:p>
    <w:p w14:paraId="2D27D2FA">
      <w:pPr>
        <w:rPr>
          <w:rFonts w:ascii="Century Gothic" w:hAnsi="Century Gothic" w:cs="Arial"/>
          <w:sz w:val="22"/>
          <w:szCs w:val="22"/>
        </w:rPr>
      </w:pPr>
    </w:p>
    <w:p w14:paraId="6BD57CFD">
      <w:pPr>
        <w:pStyle w:val="65"/>
        <w:numPr>
          <w:ilvl w:val="0"/>
          <w:numId w:val="4"/>
        </w:numPr>
        <w:rPr>
          <w:rFonts w:ascii="Century Gothic" w:hAnsi="Century Gothic" w:cs="Arial"/>
          <w:sz w:val="22"/>
          <w:szCs w:val="22"/>
        </w:rPr>
      </w:pPr>
      <w:r>
        <w:rPr>
          <w:rFonts w:ascii="Century Gothic" w:hAnsi="Century Gothic" w:cs="Arial"/>
          <w:b/>
          <w:sz w:val="22"/>
          <w:szCs w:val="22"/>
        </w:rPr>
        <w:t>Riesgo Operativo:</w:t>
      </w:r>
      <w:r>
        <w:rPr>
          <w:rFonts w:ascii="Century Gothic" w:hAnsi="Century Gothic" w:cs="Arial"/>
          <w:sz w:val="22"/>
          <w:szCs w:val="22"/>
        </w:rPr>
        <w:t xml:space="preserve"> es la posibilidad de incurrir en pérdidas por deficiencias, fallas o inadecuaciones, en el recurso humano, los procesos, la tecnología, la infraestructura o por la ocurrencia de acontecimientos externos.</w:t>
      </w:r>
    </w:p>
    <w:p w14:paraId="7828D5C7">
      <w:pPr>
        <w:rPr>
          <w:rFonts w:ascii="Century Gothic" w:hAnsi="Century Gothic" w:cs="Arial"/>
          <w:sz w:val="22"/>
          <w:szCs w:val="22"/>
        </w:rPr>
      </w:pPr>
    </w:p>
    <w:p w14:paraId="1FB2DFBD">
      <w:pPr>
        <w:pStyle w:val="65"/>
        <w:numPr>
          <w:ilvl w:val="0"/>
          <w:numId w:val="4"/>
        </w:numPr>
        <w:rPr>
          <w:rFonts w:ascii="Century Gothic" w:hAnsi="Century Gothic" w:cs="Arial"/>
          <w:sz w:val="22"/>
          <w:szCs w:val="22"/>
        </w:rPr>
      </w:pPr>
      <w:r>
        <w:rPr>
          <w:rFonts w:ascii="Century Gothic" w:hAnsi="Century Gothic" w:cs="Arial"/>
          <w:b/>
          <w:sz w:val="22"/>
          <w:szCs w:val="22"/>
        </w:rPr>
        <w:t>Riesgo Reputacional:</w:t>
      </w:r>
      <w:r>
        <w:rPr>
          <w:rFonts w:ascii="Century Gothic" w:hAnsi="Century Gothic" w:cs="Arial"/>
          <w:sz w:val="22"/>
          <w:szCs w:val="22"/>
        </w:rPr>
        <w:t xml:space="preserve"> es la posibilidad de pérdida en que incurre una entidad por desprestigio, mala imagen, publicidad negativa, cierta o no, respecto de la institución y sus prácticas de negocios, que causen pérdida de asociados, disminución de ingresos o procesos judiciales.</w:t>
      </w:r>
    </w:p>
    <w:p w14:paraId="66A8CA94">
      <w:pPr>
        <w:pStyle w:val="65"/>
        <w:rPr>
          <w:rFonts w:ascii="Century Gothic" w:hAnsi="Century Gothic" w:cs="Arial"/>
          <w:b/>
          <w:sz w:val="22"/>
          <w:szCs w:val="22"/>
        </w:rPr>
      </w:pPr>
    </w:p>
    <w:p w14:paraId="4D2C977D">
      <w:pPr>
        <w:pStyle w:val="65"/>
        <w:numPr>
          <w:ilvl w:val="0"/>
          <w:numId w:val="4"/>
        </w:numPr>
        <w:rPr>
          <w:rFonts w:ascii="Century Gothic" w:hAnsi="Century Gothic" w:cs="Arial"/>
          <w:sz w:val="22"/>
          <w:szCs w:val="22"/>
        </w:rPr>
      </w:pPr>
      <w:r>
        <w:rPr>
          <w:rFonts w:ascii="Century Gothic" w:hAnsi="Century Gothic" w:cs="Arial"/>
          <w:b/>
          <w:sz w:val="22"/>
          <w:szCs w:val="22"/>
        </w:rPr>
        <w:t>ROS:</w:t>
      </w:r>
      <w:r>
        <w:rPr>
          <w:rFonts w:ascii="Century Gothic" w:hAnsi="Century Gothic" w:cs="Arial"/>
          <w:sz w:val="22"/>
          <w:szCs w:val="22"/>
        </w:rPr>
        <w:t xml:space="preserve"> abreviaturas que se utilizarán en el documento para Reporte de Operaciones Sospechosas. </w:t>
      </w:r>
      <w:r>
        <w:rPr>
          <w:rFonts w:ascii="Century Gothic" w:hAnsi="Century Gothic" w:cs="Arial"/>
          <w:sz w:val="22"/>
          <w:szCs w:val="22"/>
          <w:lang w:val="es-CO"/>
        </w:rPr>
        <w:t>Corresponde a las entidades reportar a la UIAF en forma inmediata las operaciones que determinen como sospechosas. Así mismo, las entidades deberán reportar las operaciones intentadas o rechazadas que contengan características que les otorguen el carácter de sospechosas. Los reportes sobre operaciones sospechosas deben ajustarse a los criterios objetivos establecidos por la entidad.</w:t>
      </w:r>
    </w:p>
    <w:p w14:paraId="42BC75A5">
      <w:pPr>
        <w:rPr>
          <w:rFonts w:ascii="Century Gothic" w:hAnsi="Century Gothic" w:cs="Arial"/>
          <w:b/>
          <w:sz w:val="22"/>
          <w:szCs w:val="22"/>
        </w:rPr>
      </w:pPr>
    </w:p>
    <w:p w14:paraId="52FA0F9C">
      <w:pPr>
        <w:pStyle w:val="65"/>
        <w:numPr>
          <w:ilvl w:val="0"/>
          <w:numId w:val="4"/>
        </w:numPr>
        <w:rPr>
          <w:rFonts w:ascii="Century Gothic" w:hAnsi="Century Gothic" w:cs="Arial"/>
          <w:sz w:val="22"/>
          <w:szCs w:val="22"/>
        </w:rPr>
      </w:pPr>
      <w:r>
        <w:rPr>
          <w:rFonts w:ascii="Century Gothic" w:hAnsi="Century Gothic" w:cs="Arial"/>
          <w:b/>
          <w:sz w:val="22"/>
          <w:szCs w:val="22"/>
        </w:rPr>
        <w:t xml:space="preserve">SARLAFT: </w:t>
      </w:r>
      <w:r>
        <w:rPr>
          <w:rFonts w:ascii="Century Gothic" w:hAnsi="Century Gothic" w:cs="Arial"/>
          <w:sz w:val="22"/>
          <w:szCs w:val="22"/>
        </w:rPr>
        <w:t>Sistema de Administración del Riesgo de Lavado de Activos y Financiación del Terrorismo.</w:t>
      </w:r>
    </w:p>
    <w:p w14:paraId="5E35B740">
      <w:pPr>
        <w:rPr>
          <w:rFonts w:ascii="Century Gothic" w:hAnsi="Century Gothic" w:cs="Arial"/>
          <w:sz w:val="22"/>
          <w:szCs w:val="22"/>
        </w:rPr>
      </w:pPr>
    </w:p>
    <w:p w14:paraId="4DC3FB73">
      <w:pPr>
        <w:pStyle w:val="65"/>
        <w:numPr>
          <w:ilvl w:val="0"/>
          <w:numId w:val="4"/>
        </w:numPr>
        <w:rPr>
          <w:rFonts w:ascii="Century Gothic" w:hAnsi="Century Gothic" w:cs="Arial"/>
          <w:sz w:val="22"/>
          <w:szCs w:val="22"/>
        </w:rPr>
      </w:pPr>
      <w:r>
        <w:rPr>
          <w:rFonts w:ascii="Century Gothic" w:hAnsi="Century Gothic" w:cs="Arial"/>
          <w:b/>
          <w:sz w:val="22"/>
          <w:szCs w:val="22"/>
        </w:rPr>
        <w:t>Segmentación:</w:t>
      </w:r>
      <w:r>
        <w:rPr>
          <w:rFonts w:ascii="Century Gothic" w:hAnsi="Century Gothic" w:cs="Arial"/>
          <w:sz w:val="22"/>
          <w:szCs w:val="22"/>
        </w:rPr>
        <w:t xml:space="preserve"> es el proceso por medio del cual se lleva a cabo la separación de elementos en grupos homogéneos al interior de ellos y heterogéneos entre ellos.  La separación se fundamenta en el reconocimiento de diferencias significativas en sus características (variables de segmentación).</w:t>
      </w:r>
    </w:p>
    <w:p w14:paraId="72924583">
      <w:pPr>
        <w:rPr>
          <w:rFonts w:ascii="Century Gothic" w:hAnsi="Century Gothic" w:cs="Arial"/>
          <w:sz w:val="22"/>
          <w:szCs w:val="22"/>
        </w:rPr>
      </w:pPr>
    </w:p>
    <w:p w14:paraId="7081B184">
      <w:pPr>
        <w:pStyle w:val="65"/>
        <w:numPr>
          <w:ilvl w:val="0"/>
          <w:numId w:val="4"/>
        </w:numPr>
        <w:rPr>
          <w:rFonts w:ascii="Century Gothic" w:hAnsi="Century Gothic" w:cs="Arial"/>
          <w:sz w:val="22"/>
          <w:szCs w:val="22"/>
        </w:rPr>
      </w:pPr>
      <w:r>
        <w:rPr>
          <w:rFonts w:ascii="Century Gothic" w:hAnsi="Century Gothic" w:cs="Arial"/>
          <w:b/>
          <w:sz w:val="22"/>
          <w:szCs w:val="22"/>
        </w:rPr>
        <w:t>Señales de Alerta:</w:t>
      </w:r>
      <w:r>
        <w:rPr>
          <w:rFonts w:ascii="Century Gothic" w:hAnsi="Century Gothic" w:cs="Arial"/>
          <w:sz w:val="22"/>
          <w:szCs w:val="22"/>
        </w:rPr>
        <w:tab/>
      </w:r>
      <w:r>
        <w:rPr>
          <w:rFonts w:ascii="Century Gothic" w:hAnsi="Century Gothic" w:cs="Arial"/>
          <w:sz w:val="22"/>
          <w:szCs w:val="22"/>
        </w:rPr>
        <w:t>es el conjunto de indicadores cualitativos y cuantitativos que permiten identificar oportuna y/o prospectivamente comportamientos atípicos de las variables relevantes, previamente determinadas por la entidad.</w:t>
      </w:r>
    </w:p>
    <w:p w14:paraId="3A8409C4">
      <w:pPr>
        <w:rPr>
          <w:rFonts w:ascii="Century Gothic" w:hAnsi="Century Gothic" w:cs="Arial"/>
          <w:sz w:val="22"/>
          <w:szCs w:val="22"/>
        </w:rPr>
      </w:pPr>
    </w:p>
    <w:p w14:paraId="767784EF">
      <w:pPr>
        <w:pStyle w:val="65"/>
        <w:numPr>
          <w:ilvl w:val="0"/>
          <w:numId w:val="4"/>
        </w:numPr>
        <w:rPr>
          <w:rFonts w:ascii="Century Gothic" w:hAnsi="Century Gothic" w:cs="Arial"/>
          <w:sz w:val="22"/>
          <w:szCs w:val="22"/>
        </w:rPr>
      </w:pPr>
      <w:r>
        <w:rPr>
          <w:rFonts w:ascii="Century Gothic" w:hAnsi="Century Gothic" w:cs="Arial"/>
          <w:b/>
          <w:sz w:val="22"/>
          <w:szCs w:val="22"/>
        </w:rPr>
        <w:t xml:space="preserve">Servicios: </w:t>
      </w:r>
      <w:r>
        <w:rPr>
          <w:rFonts w:ascii="Century Gothic" w:hAnsi="Century Gothic" w:cs="Arial"/>
          <w:sz w:val="22"/>
          <w:szCs w:val="22"/>
        </w:rPr>
        <w:t>son todas aquellas interacciones de las entidades sometidas a inspección y vigilancia de la SES con personas diferentes a sus asociados.</w:t>
      </w:r>
    </w:p>
    <w:p w14:paraId="6233B1C5">
      <w:pPr>
        <w:rPr>
          <w:rFonts w:ascii="Century Gothic" w:hAnsi="Century Gothic" w:cs="Arial"/>
          <w:sz w:val="22"/>
          <w:szCs w:val="22"/>
        </w:rPr>
      </w:pPr>
    </w:p>
    <w:p w14:paraId="7437B099">
      <w:pPr>
        <w:pStyle w:val="65"/>
        <w:numPr>
          <w:ilvl w:val="0"/>
          <w:numId w:val="4"/>
        </w:numPr>
        <w:rPr>
          <w:rFonts w:ascii="Century Gothic" w:hAnsi="Century Gothic" w:cs="Arial"/>
          <w:b/>
          <w:sz w:val="22"/>
          <w:szCs w:val="22"/>
        </w:rPr>
      </w:pPr>
      <w:r>
        <w:rPr>
          <w:rFonts w:ascii="Century Gothic" w:hAnsi="Century Gothic" w:cs="Arial"/>
          <w:b/>
          <w:sz w:val="22"/>
          <w:szCs w:val="22"/>
        </w:rPr>
        <w:t xml:space="preserve">SES: </w:t>
      </w:r>
      <w:r>
        <w:rPr>
          <w:rFonts w:ascii="Century Gothic" w:hAnsi="Century Gothic" w:cs="Arial"/>
          <w:sz w:val="22"/>
          <w:szCs w:val="22"/>
        </w:rPr>
        <w:t>abreviaturas que se utilizarán en el documento para Superintendencia de Economía Solidaria.</w:t>
      </w:r>
    </w:p>
    <w:p w14:paraId="177EDC37">
      <w:pPr>
        <w:rPr>
          <w:rFonts w:ascii="Century Gothic" w:hAnsi="Century Gothic" w:cs="Arial"/>
          <w:b/>
          <w:sz w:val="22"/>
          <w:szCs w:val="22"/>
        </w:rPr>
      </w:pPr>
    </w:p>
    <w:p w14:paraId="78D2DC8E">
      <w:pPr>
        <w:pStyle w:val="65"/>
        <w:numPr>
          <w:ilvl w:val="0"/>
          <w:numId w:val="4"/>
        </w:numPr>
        <w:rPr>
          <w:rFonts w:ascii="Century Gothic" w:hAnsi="Century Gothic" w:cs="Arial"/>
          <w:b/>
          <w:sz w:val="22"/>
          <w:szCs w:val="22"/>
        </w:rPr>
      </w:pPr>
      <w:r>
        <w:rPr>
          <w:rFonts w:ascii="Century Gothic" w:hAnsi="Century Gothic" w:cs="Arial"/>
          <w:b/>
          <w:sz w:val="22"/>
          <w:szCs w:val="22"/>
        </w:rPr>
        <w:t xml:space="preserve">SIREL: </w:t>
      </w:r>
      <w:r>
        <w:rPr>
          <w:rFonts w:ascii="Century Gothic" w:hAnsi="Century Gothic" w:cs="Arial"/>
          <w:sz w:val="22"/>
          <w:szCs w:val="22"/>
        </w:rPr>
        <w:t>abreviaturas que se utilizarán en el documento para el Sistema de Reporte en Línea implementado por la UIAF.</w:t>
      </w:r>
    </w:p>
    <w:p w14:paraId="4C6424BA">
      <w:pPr>
        <w:rPr>
          <w:rFonts w:ascii="Century Gothic" w:hAnsi="Century Gothic" w:cs="Arial"/>
          <w:b/>
          <w:sz w:val="22"/>
          <w:szCs w:val="22"/>
        </w:rPr>
      </w:pPr>
    </w:p>
    <w:p w14:paraId="38E1D833">
      <w:pPr>
        <w:pStyle w:val="65"/>
        <w:numPr>
          <w:ilvl w:val="0"/>
          <w:numId w:val="4"/>
        </w:numPr>
        <w:rPr>
          <w:rFonts w:ascii="Century Gothic" w:hAnsi="Century Gothic" w:cs="Arial"/>
          <w:sz w:val="22"/>
          <w:szCs w:val="22"/>
        </w:rPr>
      </w:pPr>
      <w:r>
        <w:rPr>
          <w:rFonts w:ascii="Century Gothic" w:hAnsi="Century Gothic" w:cs="Arial"/>
          <w:b/>
          <w:sz w:val="22"/>
          <w:szCs w:val="22"/>
        </w:rPr>
        <w:t>Terrorismo</w:t>
      </w:r>
      <w:r>
        <w:rPr>
          <w:rFonts w:ascii="Century Gothic" w:hAnsi="Century Gothic" w:cs="Arial"/>
          <w:sz w:val="22"/>
          <w:szCs w:val="22"/>
        </w:rPr>
        <w:t xml:space="preserve">: “El que provoque o mantenga en estado de zozobra o terror a la población o a un sector de ella, mediante actos que pongan en peligro la vida, la integridad física o la libertad de las personas o las edificaciones o medios de comunicación, transporte, procesamiento o conducción de fluidos o fuerzas motrices, valiéndose de medios capaces de causar estragos”. </w:t>
      </w:r>
    </w:p>
    <w:p w14:paraId="4B2FF431">
      <w:pPr>
        <w:pStyle w:val="65"/>
        <w:rPr>
          <w:rFonts w:ascii="Century Gothic" w:hAnsi="Century Gothic" w:cs="Arial"/>
          <w:sz w:val="22"/>
          <w:szCs w:val="22"/>
        </w:rPr>
      </w:pPr>
    </w:p>
    <w:p w14:paraId="09B7E993">
      <w:pPr>
        <w:pStyle w:val="65"/>
        <w:numPr>
          <w:ilvl w:val="0"/>
          <w:numId w:val="4"/>
        </w:numPr>
        <w:rPr>
          <w:rFonts w:ascii="Century Gothic" w:hAnsi="Century Gothic" w:cs="Arial"/>
          <w:sz w:val="22"/>
          <w:szCs w:val="22"/>
        </w:rPr>
      </w:pPr>
      <w:r>
        <w:rPr>
          <w:rFonts w:ascii="Century Gothic" w:hAnsi="Century Gothic" w:cs="Arial"/>
          <w:b/>
          <w:sz w:val="22"/>
          <w:szCs w:val="22"/>
        </w:rPr>
        <w:t>Transferencias:</w:t>
      </w:r>
      <w:r>
        <w:rPr>
          <w:rFonts w:ascii="Century Gothic" w:hAnsi="Century Gothic" w:cs="Arial"/>
          <w:sz w:val="22"/>
          <w:szCs w:val="22"/>
        </w:rPr>
        <w:t xml:space="preserve"> es la transacción efectuada por una persona natural o jurídica denominada ordenante, a través de una entidad autorizada en la respectiva jurisdicción para realizar transferencias nacionales y/o internacionales, mediante movimientos electrónicos o contables, con el fin de que una suma de dinero se ponga a disposición de una persona natural o jurídica denominada beneficiaria, en otra entidad autorizada para realizar este tipo de operaciones.  El ordenante y el beneficiario pueden ser la misma persona.</w:t>
      </w:r>
    </w:p>
    <w:p w14:paraId="6F8863D9">
      <w:pPr>
        <w:rPr>
          <w:rFonts w:ascii="Century Gothic" w:hAnsi="Century Gothic" w:cs="Arial"/>
          <w:sz w:val="22"/>
          <w:szCs w:val="22"/>
        </w:rPr>
      </w:pPr>
    </w:p>
    <w:p w14:paraId="5E6B658E">
      <w:pPr>
        <w:pStyle w:val="65"/>
        <w:numPr>
          <w:ilvl w:val="0"/>
          <w:numId w:val="4"/>
        </w:numPr>
        <w:rPr>
          <w:rStyle w:val="81"/>
          <w:rFonts w:ascii="Century Gothic" w:hAnsi="Century Gothic" w:cs="Arial"/>
          <w:color w:val="222222"/>
          <w:sz w:val="22"/>
          <w:szCs w:val="22"/>
        </w:rPr>
      </w:pPr>
      <w:r>
        <w:rPr>
          <w:rFonts w:ascii="Century Gothic" w:hAnsi="Century Gothic" w:cs="Arial"/>
          <w:b/>
          <w:sz w:val="22"/>
          <w:szCs w:val="22"/>
        </w:rPr>
        <w:t xml:space="preserve">UIAF: </w:t>
      </w:r>
      <w:r>
        <w:rPr>
          <w:rStyle w:val="81"/>
          <w:rFonts w:ascii="Century Gothic" w:hAnsi="Century Gothic" w:cs="Arial"/>
          <w:color w:val="222222"/>
          <w:sz w:val="22"/>
          <w:szCs w:val="22"/>
        </w:rPr>
        <w:t>es la Unidad de Información y Análisis Financiero, cuya misión se centra en proteger la defensa y seguridad nacional en el ámbito económico, mediante inteligencia estratégica y operativa sustentada en tecnología e innovación, en un marco de respeto a los Derechos Fundamentales.</w:t>
      </w:r>
    </w:p>
    <w:p w14:paraId="3E84662D">
      <w:pPr>
        <w:pStyle w:val="65"/>
        <w:rPr>
          <w:rStyle w:val="81"/>
          <w:rFonts w:ascii="Century Gothic" w:hAnsi="Century Gothic" w:cs="Arial"/>
          <w:color w:val="222222"/>
          <w:sz w:val="22"/>
          <w:szCs w:val="22"/>
        </w:rPr>
      </w:pPr>
    </w:p>
    <w:p w14:paraId="1764A06B">
      <w:pPr>
        <w:pStyle w:val="65"/>
        <w:numPr>
          <w:ilvl w:val="0"/>
          <w:numId w:val="4"/>
        </w:numPr>
        <w:rPr>
          <w:rFonts w:ascii="Century Gothic" w:hAnsi="Century Gothic" w:cs="Arial" w:eastAsiaTheme="minorHAnsi"/>
          <w:sz w:val="22"/>
          <w:szCs w:val="22"/>
          <w:lang w:eastAsia="en-US"/>
        </w:rPr>
      </w:pPr>
      <w:bookmarkStart w:id="19" w:name="_Toc333831340"/>
      <w:r>
        <w:rPr>
          <w:rFonts w:ascii="Century Gothic" w:hAnsi="Century Gothic" w:cs="Arial"/>
          <w:b/>
          <w:sz w:val="22"/>
          <w:szCs w:val="22"/>
        </w:rPr>
        <w:t>Usuario</w:t>
      </w:r>
      <w:bookmarkEnd w:id="19"/>
      <w:r>
        <w:rPr>
          <w:rFonts w:ascii="Century Gothic" w:hAnsi="Century Gothic" w:cs="Arial"/>
          <w:b/>
          <w:sz w:val="22"/>
          <w:szCs w:val="22"/>
        </w:rPr>
        <w:t>:</w:t>
      </w:r>
      <w:r>
        <w:rPr>
          <w:rFonts w:ascii="Century Gothic" w:hAnsi="Century Gothic" w:cs="Arial"/>
          <w:sz w:val="22"/>
          <w:szCs w:val="22"/>
        </w:rPr>
        <w:t xml:space="preserve"> </w:t>
      </w:r>
      <w:bookmarkStart w:id="20" w:name="_Toc333831341"/>
      <w:r>
        <w:rPr>
          <w:rFonts w:ascii="Century Gothic" w:hAnsi="Century Gothic" w:cs="Arial" w:eastAsiaTheme="minorHAnsi"/>
          <w:sz w:val="22"/>
          <w:szCs w:val="22"/>
          <w:lang w:eastAsia="en-US"/>
        </w:rPr>
        <w:t>Son aquellas personas naturales o jurídicas a las que, sin ser asociados, la entidad les presta un servicio.</w:t>
      </w:r>
      <w:bookmarkEnd w:id="20"/>
    </w:p>
    <w:p w14:paraId="57D26BF4">
      <w:pPr>
        <w:pStyle w:val="65"/>
        <w:ind w:left="786"/>
        <w:rPr>
          <w:rStyle w:val="81"/>
          <w:rFonts w:ascii="Century Gothic" w:hAnsi="Century Gothic" w:cs="Arial"/>
          <w:color w:val="222222"/>
          <w:sz w:val="22"/>
          <w:szCs w:val="22"/>
        </w:rPr>
      </w:pPr>
    </w:p>
    <w:p w14:paraId="5923DDD0">
      <w:pPr>
        <w:rPr>
          <w:rFonts w:ascii="Century Gothic" w:hAnsi="Century Gothic" w:cs="Arial"/>
          <w:sz w:val="22"/>
          <w:szCs w:val="22"/>
          <w:lang w:val="es-ES"/>
        </w:rPr>
      </w:pPr>
    </w:p>
    <w:p w14:paraId="50015D9C">
      <w:pPr>
        <w:rPr>
          <w:rFonts w:ascii="Century Gothic" w:hAnsi="Century Gothic" w:cs="Arial"/>
          <w:sz w:val="22"/>
          <w:szCs w:val="22"/>
          <w:lang w:val="es-ES"/>
        </w:rPr>
      </w:pPr>
    </w:p>
    <w:p w14:paraId="5F711CD6">
      <w:pPr>
        <w:rPr>
          <w:rFonts w:ascii="Century Gothic" w:hAnsi="Century Gothic" w:cs="Arial"/>
          <w:sz w:val="22"/>
          <w:szCs w:val="22"/>
          <w:lang w:val="es-ES"/>
        </w:rPr>
      </w:pPr>
    </w:p>
    <w:p w14:paraId="116C1E8D">
      <w:pPr>
        <w:rPr>
          <w:rFonts w:ascii="Century Gothic" w:hAnsi="Century Gothic" w:cs="Arial"/>
          <w:sz w:val="22"/>
          <w:szCs w:val="22"/>
          <w:lang w:val="es-ES"/>
        </w:rPr>
      </w:pPr>
    </w:p>
    <w:p w14:paraId="7BDCD4C5">
      <w:pPr>
        <w:rPr>
          <w:rFonts w:ascii="Century Gothic" w:hAnsi="Century Gothic" w:cs="Arial"/>
          <w:sz w:val="22"/>
          <w:szCs w:val="22"/>
          <w:lang w:val="es-ES"/>
        </w:rPr>
      </w:pPr>
    </w:p>
    <w:p w14:paraId="61DB89B1">
      <w:pPr>
        <w:rPr>
          <w:rFonts w:ascii="Century Gothic" w:hAnsi="Century Gothic" w:cs="Arial"/>
          <w:sz w:val="22"/>
          <w:szCs w:val="22"/>
          <w:lang w:val="es-ES"/>
        </w:rPr>
      </w:pPr>
    </w:p>
    <w:p w14:paraId="3E3E3C85">
      <w:pPr>
        <w:rPr>
          <w:rFonts w:ascii="Century Gothic" w:hAnsi="Century Gothic" w:cs="Arial"/>
          <w:sz w:val="22"/>
          <w:szCs w:val="22"/>
          <w:lang w:val="es-ES"/>
        </w:rPr>
      </w:pPr>
    </w:p>
    <w:p w14:paraId="74A47F66">
      <w:pPr>
        <w:rPr>
          <w:rFonts w:ascii="Century Gothic" w:hAnsi="Century Gothic" w:cs="Arial"/>
          <w:sz w:val="22"/>
          <w:szCs w:val="22"/>
          <w:lang w:val="es-ES"/>
        </w:rPr>
      </w:pPr>
    </w:p>
    <w:p w14:paraId="65B85806">
      <w:pPr>
        <w:rPr>
          <w:rFonts w:ascii="Century Gothic" w:hAnsi="Century Gothic" w:cs="Arial"/>
          <w:sz w:val="22"/>
          <w:szCs w:val="22"/>
          <w:lang w:val="es-ES"/>
        </w:rPr>
      </w:pPr>
    </w:p>
    <w:p w14:paraId="6C15D4A4">
      <w:pPr>
        <w:rPr>
          <w:rFonts w:ascii="Century Gothic" w:hAnsi="Century Gothic" w:cs="Arial"/>
          <w:sz w:val="22"/>
          <w:szCs w:val="22"/>
          <w:lang w:val="es-ES"/>
        </w:rPr>
      </w:pPr>
    </w:p>
    <w:p w14:paraId="1C8B7817">
      <w:pPr>
        <w:rPr>
          <w:rFonts w:ascii="Century Gothic" w:hAnsi="Century Gothic" w:cs="Arial"/>
          <w:sz w:val="22"/>
          <w:szCs w:val="22"/>
          <w:lang w:val="es-ES"/>
        </w:rPr>
      </w:pPr>
    </w:p>
    <w:p w14:paraId="2D8ABC09">
      <w:pPr>
        <w:rPr>
          <w:rFonts w:ascii="Century Gothic" w:hAnsi="Century Gothic" w:cs="Arial"/>
          <w:sz w:val="22"/>
          <w:szCs w:val="22"/>
          <w:lang w:val="es-ES"/>
        </w:rPr>
      </w:pPr>
    </w:p>
    <w:p w14:paraId="3E5C6928">
      <w:pPr>
        <w:rPr>
          <w:rFonts w:ascii="Century Gothic" w:hAnsi="Century Gothic" w:cs="Arial"/>
          <w:sz w:val="22"/>
          <w:szCs w:val="22"/>
          <w:lang w:val="es-ES"/>
        </w:rPr>
      </w:pPr>
    </w:p>
    <w:p w14:paraId="7A3AECBC">
      <w:pPr>
        <w:rPr>
          <w:rFonts w:ascii="Century Gothic" w:hAnsi="Century Gothic" w:cs="Arial"/>
          <w:sz w:val="22"/>
          <w:szCs w:val="22"/>
          <w:lang w:val="es-ES"/>
        </w:rPr>
      </w:pPr>
    </w:p>
    <w:p w14:paraId="4198D3E5">
      <w:pPr>
        <w:rPr>
          <w:rFonts w:ascii="Century Gothic" w:hAnsi="Century Gothic" w:cs="Arial"/>
          <w:sz w:val="22"/>
          <w:szCs w:val="22"/>
          <w:lang w:val="es-ES"/>
        </w:rPr>
      </w:pPr>
    </w:p>
    <w:p w14:paraId="1F05CBBD">
      <w:pPr>
        <w:rPr>
          <w:rFonts w:ascii="Century Gothic" w:hAnsi="Century Gothic" w:cs="Arial"/>
          <w:sz w:val="22"/>
          <w:szCs w:val="22"/>
          <w:lang w:val="es-ES"/>
        </w:rPr>
      </w:pPr>
    </w:p>
    <w:p w14:paraId="3E628F64">
      <w:pPr>
        <w:rPr>
          <w:rFonts w:ascii="Century Gothic" w:hAnsi="Century Gothic" w:cs="Arial"/>
          <w:sz w:val="22"/>
          <w:szCs w:val="22"/>
          <w:lang w:val="es-ES"/>
        </w:rPr>
      </w:pPr>
    </w:p>
    <w:bookmarkEnd w:id="3"/>
    <w:bookmarkEnd w:id="4"/>
    <w:bookmarkEnd w:id="5"/>
    <w:bookmarkEnd w:id="6"/>
    <w:bookmarkEnd w:id="7"/>
    <w:p w14:paraId="20F123ED">
      <w:pPr>
        <w:pStyle w:val="65"/>
        <w:numPr>
          <w:ilvl w:val="0"/>
          <w:numId w:val="2"/>
        </w:numPr>
        <w:jc w:val="center"/>
        <w:rPr>
          <w:rFonts w:ascii="Century Gothic" w:hAnsi="Century Gothic" w:cs="Arial"/>
          <w:b/>
          <w:sz w:val="22"/>
          <w:szCs w:val="22"/>
        </w:rPr>
      </w:pPr>
      <w:bookmarkStart w:id="21" w:name="_Toc293412296"/>
      <w:bookmarkStart w:id="22" w:name="_Toc321821645"/>
      <w:r>
        <w:rPr>
          <w:rFonts w:ascii="Century Gothic" w:hAnsi="Century Gothic" w:cs="Arial"/>
          <w:b/>
          <w:sz w:val="22"/>
          <w:szCs w:val="22"/>
        </w:rPr>
        <w:t>DESCRIPCIÓN GENERAL DE LA ENTIDAD</w:t>
      </w:r>
    </w:p>
    <w:p w14:paraId="2888A635">
      <w:pPr>
        <w:autoSpaceDE w:val="0"/>
        <w:autoSpaceDN w:val="0"/>
        <w:adjustRightInd w:val="0"/>
        <w:jc w:val="left"/>
        <w:rPr>
          <w:rFonts w:ascii="Century Gothic" w:hAnsi="Century Gothic" w:cs="Arial" w:eastAsiaTheme="minorHAnsi"/>
          <w:b/>
          <w:color w:val="000000"/>
          <w:sz w:val="22"/>
          <w:szCs w:val="22"/>
          <w:lang w:eastAsia="en-US"/>
        </w:rPr>
      </w:pPr>
    </w:p>
    <w:bookmarkEnd w:id="21"/>
    <w:bookmarkEnd w:id="22"/>
    <w:p w14:paraId="5996618D">
      <w:pPr>
        <w:autoSpaceDE w:val="0"/>
        <w:autoSpaceDN w:val="0"/>
        <w:adjustRightInd w:val="0"/>
        <w:jc w:val="left"/>
        <w:rPr>
          <w:rFonts w:ascii="Century Gothic" w:hAnsi="Century Gothic" w:cs="Arial" w:eastAsiaTheme="minorHAnsi"/>
          <w:b/>
          <w:color w:val="000000"/>
          <w:sz w:val="22"/>
          <w:szCs w:val="22"/>
          <w:lang w:eastAsia="en-US"/>
        </w:rPr>
      </w:pPr>
      <w:bookmarkStart w:id="23" w:name="_Toc189648986"/>
      <w:r>
        <w:rPr>
          <w:rFonts w:ascii="Century Gothic" w:hAnsi="Century Gothic" w:cs="Arial" w:eastAsiaTheme="minorHAnsi"/>
          <w:b/>
          <w:color w:val="000000"/>
          <w:sz w:val="22"/>
          <w:szCs w:val="22"/>
          <w:lang w:eastAsia="en-US"/>
        </w:rPr>
        <w:t xml:space="preserve">GENERALIDADES </w:t>
      </w:r>
    </w:p>
    <w:p w14:paraId="3A8057E4">
      <w:pPr>
        <w:keepLines/>
        <w:autoSpaceDE w:val="0"/>
        <w:autoSpaceDN w:val="0"/>
        <w:adjustRightInd w:val="0"/>
        <w:rPr>
          <w:rFonts w:ascii="Century Gothic" w:hAnsi="Century Gothic" w:cs="Arial" w:eastAsiaTheme="minorHAnsi"/>
          <w:color w:val="000000"/>
          <w:sz w:val="22"/>
          <w:szCs w:val="22"/>
          <w:highlight w:val="yellow"/>
          <w:lang w:eastAsia="en-US"/>
        </w:rPr>
      </w:pPr>
    </w:p>
    <w:p w14:paraId="2CC0FA94">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La Cooperativa “COOPCALLEJONA” es una empresa asociativa, de derecho privado, sin ánimo de lucro y de responsabilidad limitada, constituida como una cooperativa multiactiva, de duración indefinida y patrimonio variable e ilimitado, que se regirá por los principios básicos del cooperativismo, las leyes, la jurisprudencia, la doctrina y su estatuto. </w:t>
      </w:r>
    </w:p>
    <w:p w14:paraId="0259BE1C">
      <w:pPr>
        <w:autoSpaceDE w:val="0"/>
        <w:autoSpaceDN w:val="0"/>
        <w:adjustRightInd w:val="0"/>
        <w:rPr>
          <w:rFonts w:ascii="Century Gothic" w:hAnsi="Century Gothic" w:cs="Arial" w:eastAsiaTheme="minorHAnsi"/>
          <w:color w:val="000000"/>
          <w:sz w:val="22"/>
          <w:szCs w:val="22"/>
          <w:lang w:eastAsia="en-US"/>
        </w:rPr>
      </w:pPr>
    </w:p>
    <w:p w14:paraId="68B8A429">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Tiene como misión, ofrecer a sus asociados en forma oportuna y confiable, diversidad de servicios principalmente el crédito, desarrollándolo en diferentes formas y buscando siempre la satisfacción de los mismos, logrando de esta manera contribuir con el mejoramiento del nivel de vida económico, social y cultural, fortaleciendo los lazos de solidaridad e integración de los asociados y de la comunidad en general.</w:t>
      </w:r>
    </w:p>
    <w:p w14:paraId="36B93C57">
      <w:pPr>
        <w:autoSpaceDE w:val="0"/>
        <w:autoSpaceDN w:val="0"/>
        <w:adjustRightInd w:val="0"/>
        <w:jc w:val="left"/>
        <w:rPr>
          <w:rFonts w:ascii="Century Gothic" w:hAnsi="Century Gothic" w:cs="Arial" w:eastAsiaTheme="minorHAnsi"/>
          <w:color w:val="000000"/>
          <w:sz w:val="22"/>
          <w:szCs w:val="22"/>
          <w:lang w:eastAsia="en-US"/>
        </w:rPr>
      </w:pPr>
    </w:p>
    <w:p w14:paraId="7B4C9D62">
      <w:pPr>
        <w:keepLines/>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El domicilio principal de la cooperativa, es el Municipio de Guapotá, Departamento de Santander, República de Colombia. Su ámbito de operaciones comprende todo el territorio nacional, pudiendo establecer las dependencias que considere necesarias para la prestación de los servicios, bien sean éstas sucursales, agencias u oficinas, a efecto de desarrollar mejor su objeto social, a juicio del Consejo de Administración.</w:t>
      </w:r>
    </w:p>
    <w:p w14:paraId="453EB941">
      <w:pPr>
        <w:keepLines/>
        <w:autoSpaceDE w:val="0"/>
        <w:autoSpaceDN w:val="0"/>
        <w:adjustRightInd w:val="0"/>
        <w:rPr>
          <w:rFonts w:ascii="Century Gothic" w:hAnsi="Century Gothic"/>
          <w:sz w:val="22"/>
          <w:szCs w:val="22"/>
        </w:rPr>
      </w:pPr>
    </w:p>
    <w:p w14:paraId="1255C7CF">
      <w:pPr>
        <w:autoSpaceDE w:val="0"/>
        <w:autoSpaceDN w:val="0"/>
        <w:adjustRightInd w:val="0"/>
        <w:rPr>
          <w:rFonts w:ascii="Century Gothic" w:hAnsi="Century Gothic" w:cs="Arial"/>
          <w:sz w:val="22"/>
          <w:szCs w:val="22"/>
        </w:rPr>
      </w:pPr>
      <w:r>
        <w:rPr>
          <w:rFonts w:ascii="Century Gothic" w:hAnsi="Century Gothic" w:cs="Arial"/>
          <w:sz w:val="22"/>
          <w:szCs w:val="22"/>
        </w:rPr>
        <w:t xml:space="preserve">Actualmente la Entidad legaliza su relación contractual en el municipio de Socorro, Departamento de Santander y establece sus productos en: </w:t>
      </w:r>
    </w:p>
    <w:p w14:paraId="7FDF17D4">
      <w:pPr>
        <w:autoSpaceDE w:val="0"/>
        <w:autoSpaceDN w:val="0"/>
        <w:adjustRightInd w:val="0"/>
        <w:rPr>
          <w:rFonts w:ascii="Century Gothic" w:hAnsi="Century Gothic" w:eastAsia="Arial Unicode MS" w:cs="Arial"/>
          <w:sz w:val="22"/>
          <w:szCs w:val="22"/>
          <w:u w:val="single"/>
        </w:rPr>
      </w:pPr>
    </w:p>
    <w:p w14:paraId="2CA212BB">
      <w:pPr>
        <w:pStyle w:val="65"/>
        <w:numPr>
          <w:ilvl w:val="0"/>
          <w:numId w:val="5"/>
        </w:numPr>
        <w:autoSpaceDE w:val="0"/>
        <w:autoSpaceDN w:val="0"/>
        <w:adjustRightInd w:val="0"/>
        <w:rPr>
          <w:rFonts w:ascii="Century Gothic" w:hAnsi="Century Gothic" w:eastAsia="Arial Unicode MS" w:cs="Arial"/>
          <w:sz w:val="22"/>
          <w:szCs w:val="22"/>
          <w:u w:val="single"/>
        </w:rPr>
      </w:pPr>
      <w:r>
        <w:rPr>
          <w:rFonts w:ascii="Century Gothic" w:hAnsi="Century Gothic" w:eastAsia="Arial Unicode MS" w:cs="Arial"/>
          <w:sz w:val="22"/>
          <w:szCs w:val="22"/>
        </w:rPr>
        <w:t>Departamento de Santander: en los municipios de Socorro y Guapotá.</w:t>
      </w:r>
    </w:p>
    <w:p w14:paraId="60B56D5E">
      <w:pPr>
        <w:autoSpaceDE w:val="0"/>
        <w:autoSpaceDN w:val="0"/>
        <w:adjustRightInd w:val="0"/>
        <w:rPr>
          <w:rFonts w:ascii="Century Gothic" w:hAnsi="Century Gothic" w:eastAsia="Arial Unicode MS" w:cs="Arial"/>
          <w:b/>
          <w:sz w:val="22"/>
          <w:szCs w:val="22"/>
        </w:rPr>
      </w:pPr>
    </w:p>
    <w:p w14:paraId="2B319C65">
      <w:pPr>
        <w:autoSpaceDE w:val="0"/>
        <w:autoSpaceDN w:val="0"/>
        <w:adjustRightInd w:val="0"/>
        <w:rPr>
          <w:rFonts w:ascii="Century Gothic" w:hAnsi="Century Gothic" w:eastAsia="Arial Unicode MS" w:cs="Arial"/>
          <w:b/>
          <w:sz w:val="22"/>
          <w:szCs w:val="22"/>
        </w:rPr>
      </w:pPr>
      <w:r>
        <w:rPr>
          <w:rFonts w:ascii="Century Gothic" w:hAnsi="Century Gothic" w:eastAsia="Arial Unicode MS" w:cs="Arial"/>
          <w:b/>
          <w:sz w:val="22"/>
          <w:szCs w:val="22"/>
        </w:rPr>
        <w:t xml:space="preserve">OBJETO DEL ACUERDO COOPERATIVO </w:t>
      </w:r>
    </w:p>
    <w:p w14:paraId="2949A217">
      <w:pPr>
        <w:autoSpaceDE w:val="0"/>
        <w:autoSpaceDN w:val="0"/>
        <w:adjustRightInd w:val="0"/>
        <w:jc w:val="left"/>
        <w:rPr>
          <w:rFonts w:cs="Arial" w:eastAsiaTheme="minorHAnsi"/>
          <w:color w:val="000000"/>
          <w:highlight w:val="yellow"/>
          <w:lang w:eastAsia="en-US"/>
        </w:rPr>
      </w:pPr>
    </w:p>
    <w:p w14:paraId="0587A70C">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El Objeto Social de la Entidad es el de  promover y ejecutar acciones que conlleven a mejorar el nivel de vida de sus asociados y su grupo familiar, buscando mejores condiciones económicas, sociales y culturales. Mediante la captación de aportes sociales, la prestación de servicios de crédito, educación, previsión, solidaridad y recreación; la celebración de operaciones de libranza o descuento directo y el manejo general de operaciones o inversiones que la ley le autorice, y que serán debidamente financiadas con recursos internos y externos de origen lícito.</w:t>
      </w:r>
    </w:p>
    <w:p w14:paraId="7D723D40">
      <w:pPr>
        <w:keepLines/>
        <w:autoSpaceDE w:val="0"/>
        <w:autoSpaceDN w:val="0"/>
        <w:adjustRightInd w:val="0"/>
        <w:rPr>
          <w:rFonts w:ascii="Century Gothic" w:hAnsi="Century Gothic"/>
          <w:b/>
          <w:color w:val="000000"/>
          <w:sz w:val="22"/>
          <w:szCs w:val="22"/>
          <w:highlight w:val="yellow"/>
        </w:rPr>
      </w:pPr>
    </w:p>
    <w:p w14:paraId="22A4B703">
      <w:pPr>
        <w:keepLines/>
        <w:autoSpaceDE w:val="0"/>
        <w:autoSpaceDN w:val="0"/>
        <w:adjustRightInd w:val="0"/>
        <w:rPr>
          <w:rFonts w:ascii="Century Gothic" w:hAnsi="Century Gothic"/>
          <w:color w:val="000000"/>
          <w:sz w:val="22"/>
          <w:szCs w:val="22"/>
          <w:lang w:val="es-ES"/>
        </w:rPr>
      </w:pPr>
      <w:r>
        <w:rPr>
          <w:rFonts w:ascii="Century Gothic" w:hAnsi="Century Gothic"/>
          <w:color w:val="000000"/>
          <w:sz w:val="22"/>
          <w:szCs w:val="22"/>
          <w:lang w:val="es-ES"/>
        </w:rPr>
        <w:t>COOPCALLEJONA LTDA., podrá desarrollar todas las operaciones, actividades y prestar servicios a sus asociados, como se establece a continuación:</w:t>
      </w:r>
    </w:p>
    <w:p w14:paraId="41F51247">
      <w:pPr>
        <w:keepLines/>
        <w:autoSpaceDE w:val="0"/>
        <w:autoSpaceDN w:val="0"/>
        <w:adjustRightInd w:val="0"/>
        <w:rPr>
          <w:rFonts w:ascii="Century Gothic" w:hAnsi="Century Gothic"/>
          <w:color w:val="000000"/>
          <w:sz w:val="22"/>
          <w:szCs w:val="22"/>
          <w:lang w:val="es-ES"/>
        </w:rPr>
      </w:pPr>
    </w:p>
    <w:p w14:paraId="142A4C73">
      <w:pPr>
        <w:pStyle w:val="65"/>
        <w:keepLines/>
        <w:numPr>
          <w:ilvl w:val="0"/>
          <w:numId w:val="6"/>
        </w:numPr>
        <w:autoSpaceDE w:val="0"/>
        <w:autoSpaceDN w:val="0"/>
        <w:adjustRightInd w:val="0"/>
        <w:rPr>
          <w:rFonts w:ascii="Century Gothic" w:hAnsi="Century Gothic"/>
          <w:i/>
          <w:color w:val="000000"/>
          <w:sz w:val="22"/>
          <w:szCs w:val="22"/>
        </w:rPr>
      </w:pPr>
      <w:r>
        <w:rPr>
          <w:rFonts w:ascii="Century Gothic" w:hAnsi="Century Gothic"/>
          <w:i/>
          <w:color w:val="000000"/>
          <w:sz w:val="22"/>
          <w:szCs w:val="22"/>
        </w:rPr>
        <w:t>Servicio de aportes y crédito</w:t>
      </w:r>
    </w:p>
    <w:p w14:paraId="001146FB">
      <w:pPr>
        <w:pStyle w:val="65"/>
        <w:keepLines/>
        <w:autoSpaceDE w:val="0"/>
        <w:autoSpaceDN w:val="0"/>
        <w:adjustRightInd w:val="0"/>
        <w:ind w:left="720"/>
        <w:rPr>
          <w:rFonts w:ascii="Century Gothic" w:hAnsi="Century Gothic"/>
          <w:color w:val="000000"/>
          <w:sz w:val="22"/>
          <w:szCs w:val="22"/>
          <w:u w:val="single"/>
        </w:rPr>
      </w:pPr>
    </w:p>
    <w:p w14:paraId="6F589B70">
      <w:pPr>
        <w:pStyle w:val="65"/>
        <w:keepLines/>
        <w:numPr>
          <w:ilvl w:val="0"/>
          <w:numId w:val="5"/>
        </w:numPr>
        <w:autoSpaceDE w:val="0"/>
        <w:autoSpaceDN w:val="0"/>
        <w:adjustRightInd w:val="0"/>
        <w:rPr>
          <w:rFonts w:ascii="Century Gothic" w:hAnsi="Century Gothic"/>
          <w:color w:val="000000"/>
          <w:sz w:val="22"/>
          <w:szCs w:val="22"/>
          <w:u w:val="single"/>
        </w:rPr>
      </w:pPr>
      <w:r>
        <w:rPr>
          <w:rFonts w:ascii="Century Gothic" w:hAnsi="Century Gothic"/>
          <w:color w:val="000000"/>
          <w:sz w:val="22"/>
          <w:szCs w:val="22"/>
        </w:rPr>
        <w:t>Recibir aportes sociales individuales de sus asociados, de acuerdo con las normas estatutarias y reglamento vigente.</w:t>
      </w:r>
    </w:p>
    <w:p w14:paraId="5270786B">
      <w:pPr>
        <w:pStyle w:val="65"/>
        <w:keepLines/>
        <w:numPr>
          <w:ilvl w:val="0"/>
          <w:numId w:val="5"/>
        </w:numPr>
        <w:autoSpaceDE w:val="0"/>
        <w:autoSpaceDN w:val="0"/>
        <w:adjustRightInd w:val="0"/>
        <w:rPr>
          <w:rFonts w:ascii="Century Gothic" w:hAnsi="Century Gothic"/>
          <w:color w:val="000000"/>
          <w:sz w:val="22"/>
          <w:szCs w:val="22"/>
          <w:u w:val="single"/>
        </w:rPr>
      </w:pPr>
      <w:r>
        <w:rPr>
          <w:rFonts w:ascii="Century Gothic" w:hAnsi="Century Gothic"/>
          <w:color w:val="000000"/>
          <w:sz w:val="22"/>
          <w:szCs w:val="22"/>
        </w:rPr>
        <w:t>Otorgar créditos a sus asociados, de acuerdo con los reglamentos internos de crédito y con las disposiciones  legales pertinentes.</w:t>
      </w:r>
    </w:p>
    <w:p w14:paraId="7CC9768D">
      <w:pPr>
        <w:pStyle w:val="65"/>
        <w:keepLines/>
        <w:numPr>
          <w:ilvl w:val="0"/>
          <w:numId w:val="5"/>
        </w:numPr>
        <w:autoSpaceDE w:val="0"/>
        <w:autoSpaceDN w:val="0"/>
        <w:adjustRightInd w:val="0"/>
        <w:rPr>
          <w:rFonts w:ascii="Century Gothic" w:hAnsi="Century Gothic"/>
          <w:color w:val="000000"/>
          <w:sz w:val="22"/>
          <w:szCs w:val="22"/>
          <w:u w:val="single"/>
        </w:rPr>
      </w:pPr>
      <w:r>
        <w:rPr>
          <w:rFonts w:ascii="Century Gothic" w:hAnsi="Century Gothic"/>
          <w:color w:val="000000"/>
          <w:sz w:val="22"/>
          <w:szCs w:val="22"/>
        </w:rPr>
        <w:t>Realizar y aceptar operaciones de libranzas o descuento directo, de acuerdo con las disposiciones legales pertinentes.</w:t>
      </w:r>
    </w:p>
    <w:p w14:paraId="1CDBAE16">
      <w:pPr>
        <w:pStyle w:val="65"/>
        <w:keepLines/>
        <w:numPr>
          <w:ilvl w:val="0"/>
          <w:numId w:val="5"/>
        </w:numPr>
        <w:autoSpaceDE w:val="0"/>
        <w:autoSpaceDN w:val="0"/>
        <w:adjustRightInd w:val="0"/>
        <w:rPr>
          <w:rFonts w:ascii="Century Gothic" w:hAnsi="Century Gothic"/>
          <w:color w:val="000000"/>
          <w:sz w:val="22"/>
          <w:szCs w:val="22"/>
          <w:u w:val="single"/>
        </w:rPr>
      </w:pPr>
      <w:r>
        <w:rPr>
          <w:rFonts w:ascii="Century Gothic" w:hAnsi="Century Gothic"/>
          <w:color w:val="000000"/>
          <w:sz w:val="22"/>
          <w:szCs w:val="22"/>
        </w:rPr>
        <w:t>Servir de intermediaria con entidades de crédito.</w:t>
      </w:r>
    </w:p>
    <w:p w14:paraId="49ED42A6">
      <w:pPr>
        <w:pStyle w:val="65"/>
        <w:keepLines/>
        <w:numPr>
          <w:ilvl w:val="0"/>
          <w:numId w:val="5"/>
        </w:numPr>
        <w:autoSpaceDE w:val="0"/>
        <w:autoSpaceDN w:val="0"/>
        <w:adjustRightInd w:val="0"/>
        <w:rPr>
          <w:rFonts w:ascii="Century Gothic" w:hAnsi="Century Gothic"/>
          <w:color w:val="000000"/>
          <w:sz w:val="22"/>
          <w:szCs w:val="22"/>
          <w:u w:val="single"/>
        </w:rPr>
      </w:pPr>
      <w:r>
        <w:rPr>
          <w:rFonts w:ascii="Century Gothic" w:hAnsi="Century Gothic"/>
          <w:color w:val="000000"/>
          <w:sz w:val="22"/>
          <w:szCs w:val="22"/>
        </w:rPr>
        <w:t>Realizar cobranza de las obligaciones derivadas de sus operaciones.</w:t>
      </w:r>
    </w:p>
    <w:p w14:paraId="004C646D">
      <w:pPr>
        <w:pStyle w:val="65"/>
        <w:keepLines/>
        <w:numPr>
          <w:ilvl w:val="0"/>
          <w:numId w:val="5"/>
        </w:numPr>
        <w:autoSpaceDE w:val="0"/>
        <w:autoSpaceDN w:val="0"/>
        <w:adjustRightInd w:val="0"/>
        <w:rPr>
          <w:rFonts w:ascii="Century Gothic" w:hAnsi="Century Gothic"/>
          <w:color w:val="000000"/>
          <w:sz w:val="22"/>
          <w:szCs w:val="22"/>
          <w:u w:val="single"/>
        </w:rPr>
      </w:pPr>
      <w:r>
        <w:rPr>
          <w:rFonts w:ascii="Century Gothic" w:hAnsi="Century Gothic"/>
          <w:color w:val="000000"/>
          <w:sz w:val="22"/>
          <w:szCs w:val="22"/>
        </w:rPr>
        <w:t>Realizar operaciones de colocación  de excedentes de tesorería en entidades debidamente autorizadas para tal efecto.</w:t>
      </w:r>
    </w:p>
    <w:p w14:paraId="534C5089">
      <w:pPr>
        <w:pStyle w:val="65"/>
        <w:keepLines/>
        <w:numPr>
          <w:ilvl w:val="0"/>
          <w:numId w:val="5"/>
        </w:numPr>
        <w:autoSpaceDE w:val="0"/>
        <w:autoSpaceDN w:val="0"/>
        <w:adjustRightInd w:val="0"/>
        <w:rPr>
          <w:rFonts w:ascii="Century Gothic" w:hAnsi="Century Gothic"/>
          <w:color w:val="000000"/>
          <w:sz w:val="22"/>
          <w:szCs w:val="22"/>
          <w:u w:val="single"/>
        </w:rPr>
      </w:pPr>
      <w:r>
        <w:rPr>
          <w:rFonts w:ascii="Century Gothic" w:hAnsi="Century Gothic"/>
          <w:color w:val="000000"/>
          <w:sz w:val="22"/>
          <w:szCs w:val="22"/>
        </w:rPr>
        <w:t>Efectuar operaciones de compra y venta de cartera</w:t>
      </w:r>
    </w:p>
    <w:p w14:paraId="699FC9AD">
      <w:pPr>
        <w:pStyle w:val="65"/>
        <w:keepLines/>
        <w:numPr>
          <w:ilvl w:val="0"/>
          <w:numId w:val="5"/>
        </w:numPr>
        <w:autoSpaceDE w:val="0"/>
        <w:autoSpaceDN w:val="0"/>
        <w:adjustRightInd w:val="0"/>
        <w:rPr>
          <w:rFonts w:ascii="Century Gothic" w:hAnsi="Century Gothic"/>
          <w:color w:val="000000"/>
          <w:sz w:val="22"/>
          <w:szCs w:val="22"/>
          <w:u w:val="single"/>
        </w:rPr>
      </w:pPr>
      <w:r>
        <w:rPr>
          <w:rFonts w:ascii="Century Gothic" w:hAnsi="Century Gothic"/>
          <w:color w:val="000000"/>
          <w:sz w:val="22"/>
          <w:szCs w:val="22"/>
        </w:rPr>
        <w:t>Realizar cualquier otra actividad complementaria de las anteriores, que no contravengan la ley o su estatuto.</w:t>
      </w:r>
    </w:p>
    <w:p w14:paraId="59E624E6">
      <w:pPr>
        <w:pStyle w:val="65"/>
        <w:keepLines/>
        <w:autoSpaceDE w:val="0"/>
        <w:autoSpaceDN w:val="0"/>
        <w:adjustRightInd w:val="0"/>
        <w:ind w:left="927"/>
        <w:rPr>
          <w:rFonts w:ascii="Century Gothic" w:hAnsi="Century Gothic"/>
          <w:color w:val="000000"/>
          <w:sz w:val="22"/>
          <w:szCs w:val="22"/>
          <w:u w:val="single"/>
        </w:rPr>
      </w:pPr>
    </w:p>
    <w:p w14:paraId="1B2ED1A7">
      <w:pPr>
        <w:pStyle w:val="65"/>
        <w:keepLines/>
        <w:numPr>
          <w:ilvl w:val="0"/>
          <w:numId w:val="6"/>
        </w:numPr>
        <w:autoSpaceDE w:val="0"/>
        <w:autoSpaceDN w:val="0"/>
        <w:adjustRightInd w:val="0"/>
        <w:rPr>
          <w:rFonts w:ascii="Century Gothic" w:hAnsi="Century Gothic"/>
          <w:i/>
          <w:color w:val="000000"/>
          <w:sz w:val="22"/>
          <w:szCs w:val="22"/>
        </w:rPr>
      </w:pPr>
      <w:r>
        <w:rPr>
          <w:rFonts w:ascii="Century Gothic" w:hAnsi="Century Gothic"/>
          <w:i/>
          <w:color w:val="000000"/>
          <w:sz w:val="22"/>
          <w:szCs w:val="22"/>
        </w:rPr>
        <w:t>Servicio de bienestar social y recreación</w:t>
      </w:r>
    </w:p>
    <w:p w14:paraId="3995719B">
      <w:pPr>
        <w:pStyle w:val="65"/>
        <w:keepLines/>
        <w:autoSpaceDE w:val="0"/>
        <w:autoSpaceDN w:val="0"/>
        <w:adjustRightInd w:val="0"/>
        <w:ind w:left="720"/>
        <w:rPr>
          <w:rFonts w:ascii="Century Gothic" w:hAnsi="Century Gothic"/>
          <w:color w:val="000000"/>
          <w:sz w:val="22"/>
          <w:szCs w:val="22"/>
          <w:u w:val="single"/>
        </w:rPr>
      </w:pPr>
    </w:p>
    <w:p w14:paraId="5D61D74F">
      <w:pPr>
        <w:pStyle w:val="65"/>
        <w:keepLines/>
        <w:numPr>
          <w:ilvl w:val="0"/>
          <w:numId w:val="7"/>
        </w:numPr>
        <w:autoSpaceDE w:val="0"/>
        <w:autoSpaceDN w:val="0"/>
        <w:adjustRightInd w:val="0"/>
        <w:rPr>
          <w:rFonts w:ascii="Century Gothic" w:hAnsi="Century Gothic"/>
          <w:color w:val="000000"/>
          <w:sz w:val="22"/>
          <w:szCs w:val="22"/>
        </w:rPr>
      </w:pPr>
      <w:r>
        <w:rPr>
          <w:rFonts w:ascii="Century Gothic" w:hAnsi="Century Gothic"/>
          <w:color w:val="000000"/>
          <w:sz w:val="22"/>
          <w:szCs w:val="22"/>
        </w:rPr>
        <w:t>Prestados directamente por la organización o a través de convenio por entidades o personas especializadas en el tema.</w:t>
      </w:r>
    </w:p>
    <w:p w14:paraId="007C58C8">
      <w:pPr>
        <w:pStyle w:val="65"/>
        <w:keepLines/>
        <w:autoSpaceDE w:val="0"/>
        <w:autoSpaceDN w:val="0"/>
        <w:adjustRightInd w:val="0"/>
        <w:ind w:left="927"/>
        <w:rPr>
          <w:rFonts w:ascii="Century Gothic" w:hAnsi="Century Gothic"/>
          <w:color w:val="000000"/>
          <w:sz w:val="22"/>
          <w:szCs w:val="22"/>
        </w:rPr>
      </w:pPr>
    </w:p>
    <w:p w14:paraId="39824C56">
      <w:pPr>
        <w:keepLines/>
        <w:autoSpaceDE w:val="0"/>
        <w:autoSpaceDN w:val="0"/>
        <w:adjustRightInd w:val="0"/>
        <w:rPr>
          <w:rFonts w:ascii="Century Gothic" w:hAnsi="Century Gothic"/>
          <w:color w:val="000000"/>
          <w:sz w:val="22"/>
          <w:szCs w:val="22"/>
        </w:rPr>
      </w:pPr>
      <w:r>
        <w:rPr>
          <w:rFonts w:ascii="Century Gothic" w:hAnsi="Century Gothic"/>
          <w:color w:val="000000"/>
          <w:sz w:val="22"/>
          <w:szCs w:val="22"/>
        </w:rPr>
        <w:t>Para el desarrollo de las actividades principales de su objeto social, COOPCALLEJONA LTDA., podrá así mismo celebrar y ejecutar todos los actos, contratos y negocios preparatorios, complementarios y conexos directamente relacionados con ellas, así como los que tengan  por finalidad ejercer los derechos o cumplir las obligaciones legales o convencionales derivados de su existencia y sus actividades.</w:t>
      </w:r>
    </w:p>
    <w:p w14:paraId="240DC42F">
      <w:pPr>
        <w:keepLines/>
        <w:autoSpaceDE w:val="0"/>
        <w:autoSpaceDN w:val="0"/>
        <w:adjustRightInd w:val="0"/>
        <w:rPr>
          <w:rFonts w:ascii="Century Gothic" w:hAnsi="Century Gothic"/>
          <w:b/>
          <w:color w:val="000000"/>
          <w:sz w:val="22"/>
          <w:szCs w:val="22"/>
        </w:rPr>
      </w:pPr>
    </w:p>
    <w:p w14:paraId="3F2C0D99">
      <w:pPr>
        <w:keepLines/>
        <w:autoSpaceDE w:val="0"/>
        <w:autoSpaceDN w:val="0"/>
        <w:adjustRightInd w:val="0"/>
        <w:rPr>
          <w:rFonts w:ascii="Century Gothic" w:hAnsi="Century Gothic"/>
          <w:b/>
          <w:color w:val="000000"/>
          <w:sz w:val="22"/>
          <w:szCs w:val="22"/>
          <w:lang w:val="es-ES"/>
        </w:rPr>
      </w:pPr>
    </w:p>
    <w:p w14:paraId="18128E36">
      <w:pPr>
        <w:keepLines/>
        <w:autoSpaceDE w:val="0"/>
        <w:autoSpaceDN w:val="0"/>
        <w:adjustRightInd w:val="0"/>
        <w:rPr>
          <w:rFonts w:ascii="Century Gothic" w:hAnsi="Century Gothic"/>
          <w:b/>
          <w:color w:val="000000"/>
          <w:sz w:val="22"/>
          <w:szCs w:val="22"/>
          <w:lang w:val="es-ES"/>
        </w:rPr>
      </w:pPr>
    </w:p>
    <w:p w14:paraId="1AE6691D">
      <w:pPr>
        <w:keepLines/>
        <w:autoSpaceDE w:val="0"/>
        <w:autoSpaceDN w:val="0"/>
        <w:adjustRightInd w:val="0"/>
        <w:rPr>
          <w:rFonts w:ascii="Century Gothic" w:hAnsi="Century Gothic"/>
          <w:b/>
          <w:color w:val="000000"/>
          <w:sz w:val="22"/>
          <w:szCs w:val="22"/>
          <w:lang w:val="es-ES"/>
        </w:rPr>
      </w:pPr>
    </w:p>
    <w:p w14:paraId="145B398E">
      <w:pPr>
        <w:keepLines/>
        <w:autoSpaceDE w:val="0"/>
        <w:autoSpaceDN w:val="0"/>
        <w:adjustRightInd w:val="0"/>
        <w:rPr>
          <w:rFonts w:ascii="Century Gothic" w:hAnsi="Century Gothic"/>
          <w:b/>
          <w:color w:val="000000"/>
          <w:sz w:val="22"/>
          <w:szCs w:val="22"/>
          <w:lang w:val="es-ES"/>
        </w:rPr>
      </w:pPr>
    </w:p>
    <w:p w14:paraId="0ABBC306">
      <w:pPr>
        <w:keepLines/>
        <w:autoSpaceDE w:val="0"/>
        <w:autoSpaceDN w:val="0"/>
        <w:adjustRightInd w:val="0"/>
        <w:rPr>
          <w:rFonts w:ascii="Century Gothic" w:hAnsi="Century Gothic"/>
          <w:b/>
          <w:color w:val="000000"/>
          <w:sz w:val="22"/>
          <w:szCs w:val="22"/>
          <w:lang w:val="es-ES"/>
        </w:rPr>
      </w:pPr>
    </w:p>
    <w:p w14:paraId="603566C3">
      <w:pPr>
        <w:keepLines/>
        <w:autoSpaceDE w:val="0"/>
        <w:autoSpaceDN w:val="0"/>
        <w:adjustRightInd w:val="0"/>
        <w:rPr>
          <w:rFonts w:ascii="Century Gothic" w:hAnsi="Century Gothic"/>
          <w:b/>
          <w:color w:val="000000"/>
          <w:sz w:val="22"/>
          <w:szCs w:val="22"/>
          <w:lang w:val="es-ES"/>
        </w:rPr>
      </w:pPr>
    </w:p>
    <w:p w14:paraId="7BB43FC5">
      <w:pPr>
        <w:keepLines/>
        <w:autoSpaceDE w:val="0"/>
        <w:autoSpaceDN w:val="0"/>
        <w:adjustRightInd w:val="0"/>
        <w:rPr>
          <w:rFonts w:ascii="Century Gothic" w:hAnsi="Century Gothic"/>
          <w:b/>
          <w:color w:val="000000"/>
          <w:sz w:val="22"/>
          <w:szCs w:val="22"/>
          <w:lang w:val="es-ES"/>
        </w:rPr>
      </w:pPr>
    </w:p>
    <w:p w14:paraId="4CFF6F36">
      <w:pPr>
        <w:keepLines/>
        <w:autoSpaceDE w:val="0"/>
        <w:autoSpaceDN w:val="0"/>
        <w:adjustRightInd w:val="0"/>
        <w:rPr>
          <w:rFonts w:ascii="Century Gothic" w:hAnsi="Century Gothic"/>
          <w:b/>
          <w:color w:val="000000"/>
          <w:sz w:val="22"/>
          <w:szCs w:val="22"/>
          <w:lang w:val="es-ES"/>
        </w:rPr>
      </w:pPr>
    </w:p>
    <w:p w14:paraId="7E5A5430">
      <w:pPr>
        <w:keepLines/>
        <w:autoSpaceDE w:val="0"/>
        <w:autoSpaceDN w:val="0"/>
        <w:adjustRightInd w:val="0"/>
        <w:rPr>
          <w:rFonts w:ascii="Century Gothic" w:hAnsi="Century Gothic"/>
          <w:b/>
          <w:color w:val="000000"/>
          <w:sz w:val="22"/>
          <w:szCs w:val="22"/>
          <w:lang w:val="es-ES"/>
        </w:rPr>
      </w:pPr>
    </w:p>
    <w:p w14:paraId="6A5CB304">
      <w:pPr>
        <w:keepLines/>
        <w:autoSpaceDE w:val="0"/>
        <w:autoSpaceDN w:val="0"/>
        <w:adjustRightInd w:val="0"/>
        <w:rPr>
          <w:rFonts w:ascii="Century Gothic" w:hAnsi="Century Gothic"/>
          <w:b/>
          <w:color w:val="000000"/>
          <w:sz w:val="22"/>
          <w:szCs w:val="22"/>
          <w:lang w:val="es-ES"/>
        </w:rPr>
      </w:pPr>
    </w:p>
    <w:p w14:paraId="014C8AC8">
      <w:pPr>
        <w:keepLines/>
        <w:autoSpaceDE w:val="0"/>
        <w:autoSpaceDN w:val="0"/>
        <w:adjustRightInd w:val="0"/>
        <w:rPr>
          <w:rFonts w:ascii="Century Gothic" w:hAnsi="Century Gothic"/>
          <w:b/>
          <w:color w:val="000000"/>
          <w:sz w:val="22"/>
          <w:szCs w:val="22"/>
          <w:lang w:val="es-ES"/>
        </w:rPr>
      </w:pPr>
    </w:p>
    <w:p w14:paraId="7074C477">
      <w:pPr>
        <w:keepLines/>
        <w:autoSpaceDE w:val="0"/>
        <w:autoSpaceDN w:val="0"/>
        <w:adjustRightInd w:val="0"/>
        <w:rPr>
          <w:rFonts w:ascii="Century Gothic" w:hAnsi="Century Gothic"/>
          <w:b/>
          <w:color w:val="000000"/>
          <w:sz w:val="22"/>
          <w:szCs w:val="22"/>
          <w:lang w:val="es-ES"/>
        </w:rPr>
      </w:pPr>
    </w:p>
    <w:p w14:paraId="3BFFAF4B">
      <w:pPr>
        <w:rPr>
          <w:rFonts w:ascii="Century Gothic" w:hAnsi="Century Gothic" w:cs="Arial"/>
          <w:b/>
          <w:sz w:val="22"/>
          <w:szCs w:val="22"/>
        </w:rPr>
      </w:pPr>
    </w:p>
    <w:p w14:paraId="2AF7EA73">
      <w:pPr>
        <w:rPr>
          <w:rFonts w:ascii="Century Gothic" w:hAnsi="Century Gothic" w:cs="Arial"/>
          <w:b/>
          <w:sz w:val="22"/>
          <w:szCs w:val="22"/>
        </w:rPr>
      </w:pPr>
    </w:p>
    <w:p w14:paraId="03EA0A6F">
      <w:pPr>
        <w:pStyle w:val="65"/>
        <w:numPr>
          <w:ilvl w:val="0"/>
          <w:numId w:val="2"/>
        </w:numPr>
        <w:jc w:val="center"/>
        <w:rPr>
          <w:rFonts w:ascii="Century Gothic" w:hAnsi="Century Gothic" w:cs="Arial"/>
          <w:b/>
          <w:sz w:val="22"/>
          <w:szCs w:val="22"/>
        </w:rPr>
      </w:pPr>
      <w:r>
        <w:rPr>
          <w:rFonts w:ascii="Century Gothic" w:hAnsi="Century Gothic" w:cs="Arial"/>
          <w:b/>
          <w:sz w:val="22"/>
          <w:szCs w:val="22"/>
        </w:rPr>
        <w:t>MARCO JURÍDICO DEL MANUAL DE SARLAFT</w:t>
      </w:r>
    </w:p>
    <w:p w14:paraId="449EF0D5">
      <w:pPr>
        <w:rPr>
          <w:rFonts w:ascii="Century Gothic" w:hAnsi="Century Gothic" w:cs="Arial"/>
          <w:b/>
          <w:sz w:val="22"/>
          <w:szCs w:val="22"/>
        </w:rPr>
      </w:pPr>
    </w:p>
    <w:p w14:paraId="2089F12D">
      <w:pPr>
        <w:pStyle w:val="65"/>
        <w:numPr>
          <w:ilvl w:val="1"/>
          <w:numId w:val="8"/>
        </w:numPr>
        <w:rPr>
          <w:rFonts w:ascii="Century Gothic" w:hAnsi="Century Gothic" w:cs="Arial"/>
          <w:b/>
          <w:sz w:val="22"/>
          <w:szCs w:val="22"/>
        </w:rPr>
      </w:pPr>
      <w:r>
        <w:rPr>
          <w:rFonts w:ascii="Century Gothic" w:hAnsi="Century Gothic" w:cs="Arial"/>
          <w:b/>
          <w:sz w:val="22"/>
          <w:szCs w:val="22"/>
        </w:rPr>
        <w:t>NORMATIVA NACIONAL</w:t>
      </w:r>
    </w:p>
    <w:p w14:paraId="66F5FDFF">
      <w:pPr>
        <w:rPr>
          <w:rFonts w:ascii="Century Gothic" w:hAnsi="Century Gothic" w:cs="Arial"/>
          <w:b/>
          <w:sz w:val="22"/>
          <w:szCs w:val="22"/>
        </w:rPr>
      </w:pPr>
    </w:p>
    <w:tbl>
      <w:tblPr>
        <w:tblStyle w:val="102"/>
        <w:tblW w:w="5216" w:type="pct"/>
        <w:tblInd w:w="0" w:type="dxa"/>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Layout w:type="autofit"/>
        <w:tblCellMar>
          <w:top w:w="0" w:type="dxa"/>
          <w:left w:w="108" w:type="dxa"/>
          <w:bottom w:w="0" w:type="dxa"/>
          <w:right w:w="108" w:type="dxa"/>
        </w:tblCellMar>
      </w:tblPr>
      <w:tblGrid>
        <w:gridCol w:w="1449"/>
        <w:gridCol w:w="7996"/>
      </w:tblGrid>
      <w:tr w14:paraId="4B81DABE">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349" w:hRule="atLeast"/>
        </w:trPr>
        <w:tc>
          <w:tcPr>
            <w:tcW w:w="5000" w:type="pct"/>
            <w:gridSpan w:val="2"/>
            <w:tcBorders>
              <w:top w:val="single" w:color="ED7D31" w:themeColor="accent2" w:sz="4" w:space="0"/>
              <w:left w:val="single" w:color="ED7D31" w:themeColor="accent2" w:sz="4" w:space="0"/>
              <w:bottom w:val="single" w:color="ED7D31" w:themeColor="accent2" w:sz="4" w:space="0"/>
              <w:right w:val="single" w:color="ED7D31" w:themeColor="accent2" w:sz="4" w:space="0"/>
              <w:insideH w:val="single" w:sz="4" w:space="0"/>
              <w:insideV w:val="nil"/>
            </w:tcBorders>
            <w:shd w:val="clear" w:color="auto" w:fill="ED7D31" w:themeFill="accent2"/>
          </w:tcPr>
          <w:p w14:paraId="061E17C0">
            <w:pPr>
              <w:jc w:val="center"/>
              <w:rPr>
                <w:rFonts w:ascii="Century Gothic" w:hAnsi="Century Gothic" w:cs="Arial"/>
                <w:b w:val="0"/>
                <w:bCs/>
                <w:color w:val="FFFFFF" w:themeColor="background1"/>
                <w:sz w:val="20"/>
                <w:szCs w:val="20"/>
                <w14:textFill>
                  <w14:solidFill>
                    <w14:schemeClr w14:val="bg1"/>
                  </w14:solidFill>
                </w14:textFill>
              </w:rPr>
            </w:pPr>
            <w:r>
              <w:rPr>
                <w:rFonts w:ascii="Century Gothic" w:hAnsi="Century Gothic"/>
                <w:b/>
                <w:bCs/>
                <w:color w:val="FFFFFF" w:themeColor="background1"/>
                <w:sz w:val="20"/>
                <w:szCs w:val="20"/>
                <w14:textFill>
                  <w14:solidFill>
                    <w14:schemeClr w14:val="bg1"/>
                  </w14:solidFill>
                </w14:textFill>
              </w:rPr>
              <w:t>CÓDIGO PENAL COLOMBIANO LEY 599 DE 2000</w:t>
            </w:r>
          </w:p>
        </w:tc>
      </w:tr>
      <w:tr w14:paraId="4FEFEB29">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1134" w:hRule="atLeast"/>
        </w:trPr>
        <w:tc>
          <w:tcPr>
            <w:tcW w:w="767" w:type="pct"/>
            <w:shd w:val="clear" w:color="auto" w:fill="FBE4D5" w:themeFill="accent2" w:themeFillTint="33"/>
            <w:textDirection w:val="btLr"/>
          </w:tcPr>
          <w:p w14:paraId="4FB19B7D">
            <w:pPr>
              <w:ind w:left="113" w:right="113"/>
              <w:jc w:val="center"/>
              <w:rPr>
                <w:rFonts w:ascii="Century Gothic" w:hAnsi="Century Gothic" w:cs="Arial"/>
                <w:b/>
                <w:bCs/>
                <w:sz w:val="18"/>
                <w:szCs w:val="18"/>
              </w:rPr>
            </w:pPr>
            <w:r>
              <w:rPr>
                <w:rFonts w:ascii="Century Gothic" w:hAnsi="Century Gothic" w:cs="Arial"/>
                <w:b/>
                <w:bCs/>
                <w:sz w:val="18"/>
                <w:szCs w:val="18"/>
              </w:rPr>
              <w:t>Artículo 258. Modificado por la ley 1474 de 2011, art. 18. Utilización indebida de información:</w:t>
            </w:r>
          </w:p>
          <w:p w14:paraId="6BA6FCE6">
            <w:pPr>
              <w:ind w:left="113" w:right="113"/>
              <w:jc w:val="center"/>
              <w:rPr>
                <w:rFonts w:ascii="Century Gothic" w:hAnsi="Century Gothic" w:cs="Arial"/>
                <w:b/>
                <w:bCs/>
                <w:sz w:val="18"/>
                <w:szCs w:val="18"/>
              </w:rPr>
            </w:pPr>
          </w:p>
        </w:tc>
        <w:tc>
          <w:tcPr>
            <w:tcW w:w="4233" w:type="pct"/>
            <w:shd w:val="clear" w:color="auto" w:fill="FBE4D5" w:themeFill="accent2" w:themeFillTint="33"/>
          </w:tcPr>
          <w:p w14:paraId="0040F261">
            <w:pPr>
              <w:autoSpaceDE w:val="0"/>
              <w:autoSpaceDN w:val="0"/>
              <w:adjustRightInd w:val="0"/>
              <w:rPr>
                <w:rFonts w:ascii="Century Gothic" w:hAnsi="Century Gothic" w:cs="Arial"/>
                <w:sz w:val="18"/>
                <w:szCs w:val="18"/>
              </w:rPr>
            </w:pPr>
          </w:p>
          <w:p w14:paraId="569F193A">
            <w:pPr>
              <w:autoSpaceDE w:val="0"/>
              <w:autoSpaceDN w:val="0"/>
              <w:adjustRightInd w:val="0"/>
              <w:rPr>
                <w:rFonts w:ascii="Century Gothic" w:hAnsi="Century Gothic" w:cs="Arial"/>
                <w:sz w:val="18"/>
                <w:szCs w:val="18"/>
              </w:rPr>
            </w:pPr>
            <w:r>
              <w:rPr>
                <w:rFonts w:ascii="Century Gothic" w:hAnsi="Century Gothic" w:cs="Arial"/>
                <w:sz w:val="18"/>
                <w:szCs w:val="18"/>
              </w:rPr>
              <w:t>“El que como empleado, directivo o miembro de una junta u órgano de administración de cualquier entidad privada, con el fin de obtener provecho para sí o para un tercero, haga uso indebido de información que haya conocido por razón o con ocasión del cargo o función y que no sea objeto de conocimiento público, incurrirá en pena de prisión de 1 a 3 años y multa de 5 a 50 salarios mínimos legales mensuales vigentes.”</w:t>
            </w:r>
          </w:p>
          <w:p w14:paraId="3097A36F">
            <w:pPr>
              <w:autoSpaceDE w:val="0"/>
              <w:autoSpaceDN w:val="0"/>
              <w:adjustRightInd w:val="0"/>
              <w:rPr>
                <w:rFonts w:ascii="Century Gothic" w:hAnsi="Century Gothic" w:cs="Arial"/>
                <w:sz w:val="18"/>
                <w:szCs w:val="18"/>
              </w:rPr>
            </w:pPr>
          </w:p>
          <w:p w14:paraId="4465A7A0">
            <w:pPr>
              <w:autoSpaceDE w:val="0"/>
              <w:autoSpaceDN w:val="0"/>
              <w:adjustRightInd w:val="0"/>
              <w:rPr>
                <w:rFonts w:ascii="Century Gothic" w:hAnsi="Century Gothic" w:cs="Arial"/>
                <w:sz w:val="18"/>
                <w:szCs w:val="18"/>
              </w:rPr>
            </w:pPr>
            <w:r>
              <w:rPr>
                <w:rFonts w:ascii="Century Gothic" w:hAnsi="Century Gothic" w:cs="Arial"/>
                <w:sz w:val="18"/>
                <w:szCs w:val="18"/>
              </w:rPr>
              <w:t>Esta norma aplica en aquellos eventos en los que se viola la reserva sobre información que suministra el cliente o el usuario a la entidad, mediante divulgación de sus datos o saldos.</w:t>
            </w:r>
          </w:p>
          <w:p w14:paraId="0ADC77D9">
            <w:pPr>
              <w:autoSpaceDE w:val="0"/>
              <w:autoSpaceDN w:val="0"/>
              <w:adjustRightInd w:val="0"/>
              <w:rPr>
                <w:rFonts w:ascii="Century Gothic" w:hAnsi="Century Gothic" w:cs="Arial"/>
                <w:sz w:val="18"/>
                <w:szCs w:val="18"/>
              </w:rPr>
            </w:pPr>
          </w:p>
          <w:p w14:paraId="46EE87B0">
            <w:pPr>
              <w:autoSpaceDE w:val="0"/>
              <w:autoSpaceDN w:val="0"/>
              <w:adjustRightInd w:val="0"/>
              <w:rPr>
                <w:rFonts w:ascii="Century Gothic" w:hAnsi="Century Gothic" w:cs="Arial"/>
                <w:sz w:val="18"/>
                <w:szCs w:val="18"/>
              </w:rPr>
            </w:pPr>
            <w:r>
              <w:rPr>
                <w:rFonts w:ascii="Century Gothic" w:hAnsi="Century Gothic" w:cs="Arial"/>
                <w:sz w:val="18"/>
                <w:szCs w:val="18"/>
              </w:rPr>
              <w:t>También puede estar incurso en el delito cuando a un cliente o usuario se le informa que ha sido objeto de un reporte de operación sospechosa con destino a las autoridades.</w:t>
            </w:r>
          </w:p>
          <w:p w14:paraId="47D84C32">
            <w:pPr>
              <w:autoSpaceDE w:val="0"/>
              <w:autoSpaceDN w:val="0"/>
              <w:adjustRightInd w:val="0"/>
              <w:rPr>
                <w:rFonts w:ascii="Century Gothic" w:hAnsi="Century Gothic" w:cs="Arial"/>
                <w:sz w:val="18"/>
                <w:szCs w:val="18"/>
              </w:rPr>
            </w:pPr>
          </w:p>
        </w:tc>
      </w:tr>
      <w:tr w14:paraId="237C3B34">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1134" w:hRule="atLeast"/>
        </w:trPr>
        <w:tc>
          <w:tcPr>
            <w:tcW w:w="767" w:type="pct"/>
            <w:textDirection w:val="btLr"/>
          </w:tcPr>
          <w:p w14:paraId="421D6B4C">
            <w:pPr>
              <w:spacing w:before="240"/>
              <w:ind w:left="113" w:right="113"/>
              <w:jc w:val="center"/>
              <w:rPr>
                <w:rFonts w:ascii="Century Gothic" w:hAnsi="Century Gothic" w:cs="Arial"/>
                <w:b/>
                <w:bCs/>
                <w:sz w:val="18"/>
                <w:szCs w:val="18"/>
              </w:rPr>
            </w:pPr>
            <w:r>
              <w:rPr>
                <w:rFonts w:ascii="Century Gothic" w:hAnsi="Century Gothic" w:cs="Arial"/>
                <w:b/>
                <w:bCs/>
                <w:sz w:val="18"/>
                <w:szCs w:val="18"/>
              </w:rPr>
              <w:t>Artículo 323. Modificado por la ley 1762 de 2015, art. 11. Lavado de activos:</w:t>
            </w:r>
          </w:p>
          <w:p w14:paraId="7DAA0F8F">
            <w:pPr>
              <w:ind w:left="113" w:right="113"/>
              <w:jc w:val="center"/>
              <w:rPr>
                <w:rFonts w:ascii="Century Gothic" w:hAnsi="Century Gothic" w:cs="Arial"/>
                <w:b/>
                <w:bCs/>
                <w:sz w:val="18"/>
                <w:szCs w:val="18"/>
              </w:rPr>
            </w:pPr>
          </w:p>
        </w:tc>
        <w:tc>
          <w:tcPr>
            <w:tcW w:w="4233" w:type="pct"/>
          </w:tcPr>
          <w:p w14:paraId="0023CFB3">
            <w:pPr>
              <w:autoSpaceDE w:val="0"/>
              <w:autoSpaceDN w:val="0"/>
              <w:adjustRightInd w:val="0"/>
              <w:rPr>
                <w:rFonts w:ascii="Century Gothic" w:hAnsi="Century Gothic" w:cs="Arial"/>
                <w:sz w:val="18"/>
                <w:szCs w:val="18"/>
              </w:rPr>
            </w:pPr>
          </w:p>
          <w:p w14:paraId="78E3A51F">
            <w:pPr>
              <w:autoSpaceDE w:val="0"/>
              <w:autoSpaceDN w:val="0"/>
              <w:adjustRightInd w:val="0"/>
              <w:rPr>
                <w:rFonts w:ascii="Century Gothic" w:hAnsi="Century Gothic" w:cs="Arial"/>
                <w:sz w:val="18"/>
                <w:szCs w:val="18"/>
              </w:rPr>
            </w:pPr>
            <w:r>
              <w:rPr>
                <w:rFonts w:ascii="Century Gothic" w:hAnsi="Century Gothic" w:cs="Arial"/>
                <w:sz w:val="18"/>
                <w:szCs w:val="18"/>
              </w:rPr>
              <w:t>El que adquiera, resguarde, invierta, transporte, transforme, almacene, conserve, custodie o administre bienes que tengan su origen mediato o inmediato en actividades de tráfico de migrantes, trata de personas, extorsión, enriquecimiento ilícito, secuestro extorsivo, rebelión, tráfico de armas, tráfico de menores de edad, financiación del terrorismo y administración de recursos relacionados con actividades terroristas, tráfico de drogas tóxicas, estupefacientes o sustancias sicotrópicas, delitos contra el sistema financiero, delitos contra la administración pública, contrabando, contrabando de hidrocarburos o sus derivados, fraude aduanero o favorecimiento y facilitación del contrabando, favorecimiento de contrabando de hidrocarburos o sus derivados, en cualquiera de sus formas, o vinculados con el producto de delitos ejecutados bajo concierto para delinquir, o les dé a los bienes provenientes de dichas actividades apariencia de legalidad o los legalice, oculte o encubra la verdadera naturaleza, origen, ubicación, destino, movimiento o derecho sobre tales bienes o realice cualquier otro acto para ocultar o encubrir su origen ilícito, incurrirá por esa sola conducta, en prisión de diez (10) a treinta (30) años y multa de mil (1.000) a cincuenta mil (50.000) salarios mínimos legales mensuales vigentes.</w:t>
            </w:r>
          </w:p>
          <w:p w14:paraId="50427EB6">
            <w:pPr>
              <w:autoSpaceDE w:val="0"/>
              <w:autoSpaceDN w:val="0"/>
              <w:adjustRightInd w:val="0"/>
              <w:rPr>
                <w:rFonts w:ascii="Century Gothic" w:hAnsi="Century Gothic" w:cs="Arial"/>
                <w:sz w:val="18"/>
                <w:szCs w:val="18"/>
              </w:rPr>
            </w:pPr>
          </w:p>
          <w:p w14:paraId="2203FC49">
            <w:pPr>
              <w:autoSpaceDE w:val="0"/>
              <w:autoSpaceDN w:val="0"/>
              <w:adjustRightInd w:val="0"/>
              <w:rPr>
                <w:rFonts w:ascii="Century Gothic" w:hAnsi="Century Gothic" w:cs="Arial"/>
                <w:sz w:val="18"/>
                <w:szCs w:val="18"/>
              </w:rPr>
            </w:pPr>
            <w:r>
              <w:rPr>
                <w:rFonts w:ascii="Century Gothic" w:hAnsi="Century Gothic" w:cs="Arial"/>
                <w:sz w:val="18"/>
                <w:szCs w:val="18"/>
              </w:rPr>
              <w:t>La misma pena se aplicará cuando las conductas descritas en el inciso anterior se realicen sobre bienes cuya extinción de dominio haya sido declarada.</w:t>
            </w:r>
          </w:p>
          <w:p w14:paraId="0DF25324">
            <w:pPr>
              <w:autoSpaceDE w:val="0"/>
              <w:autoSpaceDN w:val="0"/>
              <w:adjustRightInd w:val="0"/>
              <w:rPr>
                <w:rFonts w:ascii="Century Gothic" w:hAnsi="Century Gothic" w:cs="Arial"/>
                <w:sz w:val="18"/>
                <w:szCs w:val="18"/>
              </w:rPr>
            </w:pPr>
          </w:p>
          <w:p w14:paraId="246C3EA8">
            <w:pPr>
              <w:autoSpaceDE w:val="0"/>
              <w:autoSpaceDN w:val="0"/>
              <w:adjustRightInd w:val="0"/>
              <w:rPr>
                <w:rFonts w:ascii="Century Gothic" w:hAnsi="Century Gothic" w:cs="Arial"/>
                <w:sz w:val="18"/>
                <w:szCs w:val="18"/>
              </w:rPr>
            </w:pPr>
            <w:r>
              <w:rPr>
                <w:rFonts w:ascii="Century Gothic" w:hAnsi="Century Gothic" w:cs="Arial"/>
                <w:sz w:val="18"/>
                <w:szCs w:val="18"/>
              </w:rPr>
              <w:t>El lavado de activos será punible aun cuando las actividades de que provinieren los bienes, o los actos penados en los apartados anteriores, se hubiesen realizado, total o parcialmente, en el extranjero.</w:t>
            </w:r>
          </w:p>
          <w:p w14:paraId="67AC7DCF">
            <w:pPr>
              <w:autoSpaceDE w:val="0"/>
              <w:autoSpaceDN w:val="0"/>
              <w:adjustRightInd w:val="0"/>
              <w:rPr>
                <w:rFonts w:ascii="Century Gothic" w:hAnsi="Century Gothic" w:cs="Arial"/>
                <w:sz w:val="18"/>
                <w:szCs w:val="18"/>
              </w:rPr>
            </w:pPr>
          </w:p>
          <w:p w14:paraId="5F6352AD">
            <w:pPr>
              <w:autoSpaceDE w:val="0"/>
              <w:autoSpaceDN w:val="0"/>
              <w:adjustRightInd w:val="0"/>
              <w:rPr>
                <w:rFonts w:ascii="Century Gothic" w:hAnsi="Century Gothic" w:cs="Arial"/>
                <w:sz w:val="18"/>
                <w:szCs w:val="18"/>
              </w:rPr>
            </w:pPr>
            <w:r>
              <w:rPr>
                <w:rFonts w:ascii="Century Gothic" w:hAnsi="Century Gothic" w:cs="Arial"/>
                <w:sz w:val="18"/>
                <w:szCs w:val="18"/>
              </w:rPr>
              <w:t>Las penas privativas de la libertad previstas en el presente artículo se aumentarán de una tercera parte a la mitad cuando para la realización de las conductas se efectuaren operaciones de cambio o de comercio exterior, o se introdujeren mercancías al territorio nacional.</w:t>
            </w:r>
          </w:p>
          <w:p w14:paraId="0067A6F2">
            <w:pPr>
              <w:jc w:val="center"/>
              <w:rPr>
                <w:rFonts w:ascii="Century Gothic" w:hAnsi="Century Gothic" w:cs="Arial"/>
                <w:sz w:val="18"/>
                <w:szCs w:val="18"/>
              </w:rPr>
            </w:pPr>
          </w:p>
        </w:tc>
      </w:tr>
      <w:tr w14:paraId="06941209">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1134" w:hRule="atLeast"/>
        </w:trPr>
        <w:tc>
          <w:tcPr>
            <w:tcW w:w="767" w:type="pct"/>
            <w:shd w:val="clear" w:color="auto" w:fill="FBE4D5" w:themeFill="accent2" w:themeFillTint="33"/>
            <w:textDirection w:val="btLr"/>
          </w:tcPr>
          <w:p w14:paraId="6FF7F096">
            <w:pPr>
              <w:spacing w:before="240"/>
              <w:ind w:left="113" w:right="113"/>
              <w:contextualSpacing/>
              <w:jc w:val="center"/>
              <w:rPr>
                <w:rFonts w:ascii="Century Gothic" w:hAnsi="Century Gothic" w:cs="Arial"/>
                <w:b/>
                <w:bCs/>
                <w:sz w:val="18"/>
                <w:szCs w:val="18"/>
              </w:rPr>
            </w:pPr>
            <w:r>
              <w:rPr>
                <w:rFonts w:ascii="Century Gothic" w:hAnsi="Century Gothic" w:cs="Arial"/>
                <w:b/>
                <w:bCs/>
                <w:sz w:val="18"/>
                <w:szCs w:val="18"/>
              </w:rPr>
              <w:t>Artículo 325. Modificado por la ley 1357 de 2009, art. 3. Omisión de control:</w:t>
            </w:r>
          </w:p>
          <w:p w14:paraId="15D5A9A6">
            <w:pPr>
              <w:ind w:left="113" w:right="113"/>
              <w:jc w:val="center"/>
              <w:rPr>
                <w:rFonts w:ascii="Century Gothic" w:hAnsi="Century Gothic" w:cs="Arial"/>
                <w:b/>
                <w:bCs/>
                <w:sz w:val="18"/>
                <w:szCs w:val="18"/>
              </w:rPr>
            </w:pPr>
          </w:p>
        </w:tc>
        <w:tc>
          <w:tcPr>
            <w:tcW w:w="4233" w:type="pct"/>
            <w:shd w:val="clear" w:color="auto" w:fill="FBE4D5" w:themeFill="accent2" w:themeFillTint="33"/>
          </w:tcPr>
          <w:p w14:paraId="40DA0239">
            <w:pPr>
              <w:autoSpaceDE w:val="0"/>
              <w:autoSpaceDN w:val="0"/>
              <w:adjustRightInd w:val="0"/>
              <w:rPr>
                <w:rFonts w:ascii="Century Gothic" w:hAnsi="Century Gothic" w:cs="Arial"/>
                <w:sz w:val="18"/>
                <w:szCs w:val="18"/>
              </w:rPr>
            </w:pPr>
            <w:r>
              <w:rPr>
                <w:rFonts w:ascii="Century Gothic" w:hAnsi="Century Gothic" w:cs="Arial"/>
                <w:sz w:val="18"/>
                <w:szCs w:val="18"/>
              </w:rPr>
              <w:t>El miembro de Junta Directiva, Consejo de Administración, Representante legal, administrador o empleado de una institución financiera o de cooperativas que ejerzan actividades de ahorro y crédito que, con el fin de ocultar o encubrir el origen ilícito del dinero, omita el cumplimiento de alguno o todos los mecanismos de control establecidos por el ordenamiento jurídico para las transacciones en efectivo incurrirá, por esa sola conducta, en prisión de treinta y ocho (38) a ciento veintiocho (128) meses y multa de ciento treinta y tres punto treinta y tres (133.33) a quince mil (15.000) salarios mínimos legales mensuales vigentes.</w:t>
            </w:r>
          </w:p>
        </w:tc>
      </w:tr>
      <w:tr w14:paraId="422D7492">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1134" w:hRule="atLeast"/>
        </w:trPr>
        <w:tc>
          <w:tcPr>
            <w:tcW w:w="767" w:type="pct"/>
            <w:textDirection w:val="btLr"/>
          </w:tcPr>
          <w:p w14:paraId="7984A820">
            <w:pPr>
              <w:spacing w:before="240"/>
              <w:ind w:left="113" w:right="113"/>
              <w:jc w:val="center"/>
              <w:rPr>
                <w:rFonts w:ascii="Century Gothic" w:hAnsi="Century Gothic" w:cs="Arial"/>
                <w:b/>
                <w:bCs/>
                <w:sz w:val="18"/>
                <w:szCs w:val="18"/>
              </w:rPr>
            </w:pPr>
            <w:r>
              <w:rPr>
                <w:rFonts w:ascii="Century Gothic" w:hAnsi="Century Gothic" w:cs="Arial"/>
                <w:b/>
                <w:bCs/>
                <w:sz w:val="18"/>
                <w:szCs w:val="18"/>
              </w:rPr>
              <w:t>Artículo 326. Adicionado ley 747/2002, art. 7. Testaferrato:</w:t>
            </w:r>
          </w:p>
          <w:p w14:paraId="7132D10D">
            <w:pPr>
              <w:ind w:left="113" w:right="113"/>
              <w:jc w:val="center"/>
              <w:rPr>
                <w:rFonts w:ascii="Century Gothic" w:hAnsi="Century Gothic" w:cs="Arial"/>
                <w:b/>
                <w:bCs/>
                <w:sz w:val="18"/>
                <w:szCs w:val="18"/>
              </w:rPr>
            </w:pPr>
          </w:p>
        </w:tc>
        <w:tc>
          <w:tcPr>
            <w:tcW w:w="4233" w:type="pct"/>
          </w:tcPr>
          <w:p w14:paraId="458AE29F">
            <w:pPr>
              <w:autoSpaceDE w:val="0"/>
              <w:autoSpaceDN w:val="0"/>
              <w:adjustRightInd w:val="0"/>
              <w:rPr>
                <w:rFonts w:ascii="Century Gothic" w:hAnsi="Century Gothic" w:cs="Arial"/>
                <w:sz w:val="18"/>
                <w:szCs w:val="18"/>
              </w:rPr>
            </w:pPr>
            <w:r>
              <w:rPr>
                <w:rFonts w:ascii="Century Gothic" w:hAnsi="Century Gothic" w:cs="Arial"/>
                <w:sz w:val="18"/>
                <w:szCs w:val="18"/>
              </w:rPr>
              <w:t>Quien preste su nombre para adquirir bienes con dineros provenientes del delito de narcotráfico y conexos, incurrirá en prisión de seis (6) a quince (15) años y multa de quinientos (500) a cincuenta mil (50.000) salarios mínimos legales mensuales vigentes, sin perjuicio del decomiso de los respectivos bienes.</w:t>
            </w:r>
          </w:p>
          <w:p w14:paraId="7C24D42F">
            <w:pPr>
              <w:autoSpaceDE w:val="0"/>
              <w:autoSpaceDN w:val="0"/>
              <w:adjustRightInd w:val="0"/>
              <w:rPr>
                <w:rFonts w:ascii="Century Gothic" w:hAnsi="Century Gothic" w:cs="Arial"/>
                <w:sz w:val="18"/>
                <w:szCs w:val="18"/>
              </w:rPr>
            </w:pPr>
          </w:p>
          <w:p w14:paraId="2BED1AE4">
            <w:pPr>
              <w:autoSpaceDE w:val="0"/>
              <w:autoSpaceDN w:val="0"/>
              <w:adjustRightInd w:val="0"/>
              <w:rPr>
                <w:rFonts w:ascii="Century Gothic" w:hAnsi="Century Gothic" w:cs="Arial"/>
                <w:sz w:val="18"/>
                <w:szCs w:val="18"/>
              </w:rPr>
            </w:pPr>
            <w:r>
              <w:rPr>
                <w:rFonts w:ascii="Century Gothic" w:hAnsi="Century Gothic" w:cs="Arial"/>
                <w:sz w:val="18"/>
                <w:szCs w:val="18"/>
              </w:rPr>
              <w:t>La misma pena se impondrá cuando la conducta descrita en el inciso anterior se realice con dineros provenientes del secuestro extorsivo, extorsión y conexos y la multa será de cinco mil (5.000) a cincuenta mil (50.000) salarios mínimos legales mensuales vigentes, sin perjuicio del decomiso de los respectivos bienes.</w:t>
            </w:r>
          </w:p>
        </w:tc>
      </w:tr>
      <w:tr w14:paraId="6B796EF8">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1134" w:hRule="atLeast"/>
        </w:trPr>
        <w:tc>
          <w:tcPr>
            <w:tcW w:w="767" w:type="pct"/>
            <w:shd w:val="clear" w:color="auto" w:fill="FBE4D5" w:themeFill="accent2" w:themeFillTint="33"/>
            <w:textDirection w:val="btLr"/>
          </w:tcPr>
          <w:p w14:paraId="64DDD36A">
            <w:pPr>
              <w:spacing w:before="240"/>
              <w:ind w:left="113" w:right="113"/>
              <w:contextualSpacing/>
              <w:jc w:val="center"/>
              <w:rPr>
                <w:rFonts w:ascii="Century Gothic" w:hAnsi="Century Gothic" w:cs="Arial"/>
                <w:b/>
                <w:bCs/>
                <w:sz w:val="18"/>
                <w:szCs w:val="18"/>
              </w:rPr>
            </w:pPr>
            <w:r>
              <w:rPr>
                <w:rFonts w:ascii="Century Gothic" w:hAnsi="Century Gothic" w:cs="Arial"/>
                <w:b/>
                <w:bCs/>
                <w:sz w:val="18"/>
                <w:szCs w:val="18"/>
              </w:rPr>
              <w:t>Artículo 327. Enriquecimiento ilícito de particulares:</w:t>
            </w:r>
          </w:p>
          <w:p w14:paraId="2D046333">
            <w:pPr>
              <w:ind w:left="113" w:right="113"/>
              <w:jc w:val="center"/>
              <w:rPr>
                <w:rFonts w:ascii="Century Gothic" w:hAnsi="Century Gothic" w:cs="Arial"/>
                <w:b/>
                <w:bCs/>
                <w:sz w:val="18"/>
                <w:szCs w:val="18"/>
              </w:rPr>
            </w:pPr>
          </w:p>
        </w:tc>
        <w:tc>
          <w:tcPr>
            <w:tcW w:w="4233" w:type="pct"/>
            <w:shd w:val="clear" w:color="auto" w:fill="FBE4D5" w:themeFill="accent2" w:themeFillTint="33"/>
          </w:tcPr>
          <w:p w14:paraId="1C5E5F44">
            <w:pPr>
              <w:autoSpaceDE w:val="0"/>
              <w:autoSpaceDN w:val="0"/>
              <w:adjustRightInd w:val="0"/>
              <w:rPr>
                <w:rFonts w:ascii="Century Gothic" w:hAnsi="Century Gothic" w:cs="Arial"/>
                <w:sz w:val="18"/>
                <w:szCs w:val="18"/>
              </w:rPr>
            </w:pPr>
            <w:r>
              <w:rPr>
                <w:rFonts w:ascii="Century Gothic" w:hAnsi="Century Gothic" w:cs="Arial"/>
                <w:sz w:val="18"/>
                <w:szCs w:val="18"/>
              </w:rPr>
              <w:t>El que de manera directa o por interpuesta persona obtenga, para sí o para otro, incremento patrimonial no justificado, derivado en una u otra forma de actividades delictivas incurrirá, por esa sola conducta, en prisión de seis (6) a diez (10) años y multa correspondiente al doble del valor del incremento ilícito logrado, sin que supere el equivalente a cincuenta mil (50.000) salarios mínimos legales mensuales vigentes.</w:t>
            </w:r>
          </w:p>
        </w:tc>
      </w:tr>
      <w:tr w14:paraId="43EE1144">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3373" w:hRule="atLeast"/>
        </w:trPr>
        <w:tc>
          <w:tcPr>
            <w:tcW w:w="767" w:type="pct"/>
            <w:textDirection w:val="btLr"/>
          </w:tcPr>
          <w:p w14:paraId="2CA313EF">
            <w:pPr>
              <w:spacing w:before="240"/>
              <w:ind w:left="113" w:right="113"/>
              <w:contextualSpacing/>
              <w:jc w:val="center"/>
              <w:rPr>
                <w:rFonts w:ascii="Century Gothic" w:hAnsi="Century Gothic" w:cs="Arial"/>
                <w:b/>
                <w:bCs/>
                <w:sz w:val="16"/>
                <w:szCs w:val="16"/>
              </w:rPr>
            </w:pPr>
            <w:r>
              <w:rPr>
                <w:rFonts w:ascii="Century Gothic" w:hAnsi="Century Gothic" w:cs="Arial"/>
                <w:b/>
                <w:bCs/>
                <w:sz w:val="16"/>
                <w:szCs w:val="16"/>
              </w:rPr>
              <w:t>Artículo 345. Modificado por la ley 1453 de 2011, art. 16. Financiación del terrorismo y de grupos de delincuencia organizada y administración de recursos relacionados con actividades terroristas y de la delincuencia organizada:</w:t>
            </w:r>
          </w:p>
          <w:p w14:paraId="07408AC6">
            <w:pPr>
              <w:ind w:left="113" w:right="113"/>
              <w:jc w:val="center"/>
              <w:rPr>
                <w:rFonts w:ascii="Century Gothic" w:hAnsi="Century Gothic" w:cs="Arial"/>
                <w:b/>
                <w:bCs/>
                <w:sz w:val="18"/>
                <w:szCs w:val="18"/>
              </w:rPr>
            </w:pPr>
          </w:p>
        </w:tc>
        <w:tc>
          <w:tcPr>
            <w:tcW w:w="4233" w:type="pct"/>
          </w:tcPr>
          <w:p w14:paraId="52188454">
            <w:pPr>
              <w:autoSpaceDE w:val="0"/>
              <w:autoSpaceDN w:val="0"/>
              <w:adjustRightInd w:val="0"/>
              <w:rPr>
                <w:rFonts w:ascii="Century Gothic" w:hAnsi="Century Gothic" w:cs="Arial"/>
                <w:sz w:val="18"/>
                <w:szCs w:val="18"/>
              </w:rPr>
            </w:pPr>
            <w:r>
              <w:rPr>
                <w:rFonts w:ascii="Century Gothic" w:hAnsi="Century Gothic" w:cs="Arial"/>
                <w:sz w:val="18"/>
                <w:szCs w:val="18"/>
              </w:rPr>
              <w:t>El que directa o indirectamente provea, recolecte, entregue, reciba, administre, aporte, custodie o guarde fondos, bienes o recursos, o realice cualquier otro acto que promueva, organice, apoye, mantenga, financie o sostenga económicamente a grupos de delincuencia organizada, grupos armados al margen de la ley o a sus integrantes, o a grupos terroristas nacionales o extranjeros, o a terroristas nacionales o extranjeros, o a actividades terroristas, incurrirá en prisión de trece (13) a veintidós (22) años y multa de mil trescientos (1.300) a quince mil (15.000) salarios mínimos legales mensuales vigentes.</w:t>
            </w:r>
          </w:p>
          <w:p w14:paraId="11995F6A">
            <w:pPr>
              <w:jc w:val="center"/>
              <w:rPr>
                <w:rFonts w:ascii="Century Gothic" w:hAnsi="Century Gothic" w:cs="Arial"/>
                <w:sz w:val="18"/>
                <w:szCs w:val="18"/>
              </w:rPr>
            </w:pPr>
          </w:p>
        </w:tc>
      </w:tr>
      <w:tr w14:paraId="25E79BFF">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207" w:hRule="atLeast"/>
        </w:trPr>
        <w:tc>
          <w:tcPr>
            <w:tcW w:w="5000" w:type="pct"/>
            <w:gridSpan w:val="2"/>
            <w:shd w:val="clear" w:color="auto" w:fill="FBE4D5" w:themeFill="accent2" w:themeFillTint="33"/>
          </w:tcPr>
          <w:p w14:paraId="1F193A8B">
            <w:pPr>
              <w:jc w:val="center"/>
              <w:rPr>
                <w:rFonts w:ascii="Century Gothic" w:hAnsi="Century Gothic" w:cs="Arial"/>
                <w:b w:val="0"/>
                <w:bCs/>
                <w:sz w:val="20"/>
                <w:szCs w:val="20"/>
              </w:rPr>
            </w:pPr>
            <w:r>
              <w:rPr>
                <w:rFonts w:ascii="Century Gothic" w:hAnsi="Century Gothic" w:cs="Arial"/>
                <w:b/>
                <w:bCs/>
                <w:sz w:val="20"/>
                <w:szCs w:val="20"/>
              </w:rPr>
              <w:t>ESTATUTO ORGÁNICO DEL SISTEMA FINANCIERO</w:t>
            </w:r>
          </w:p>
        </w:tc>
      </w:tr>
      <w:tr w14:paraId="71453AEF">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731" w:hRule="atLeast"/>
        </w:trPr>
        <w:tc>
          <w:tcPr>
            <w:tcW w:w="5000" w:type="pct"/>
            <w:gridSpan w:val="2"/>
          </w:tcPr>
          <w:p w14:paraId="415853A3">
            <w:pPr>
              <w:rPr>
                <w:rFonts w:ascii="Century Gothic" w:hAnsi="Century Gothic" w:cs="Arial"/>
                <w:b/>
                <w:bCs/>
                <w:sz w:val="18"/>
                <w:szCs w:val="18"/>
              </w:rPr>
            </w:pPr>
          </w:p>
          <w:p w14:paraId="748D716C">
            <w:pPr>
              <w:rPr>
                <w:rFonts w:ascii="Century Gothic" w:hAnsi="Century Gothic" w:cs="Arial"/>
                <w:b w:val="0"/>
                <w:bCs/>
                <w:sz w:val="18"/>
                <w:szCs w:val="18"/>
              </w:rPr>
            </w:pPr>
            <w:r>
              <w:rPr>
                <w:rFonts w:ascii="Century Gothic" w:hAnsi="Century Gothic" w:cs="Arial"/>
                <w:b w:val="0"/>
                <w:bCs/>
                <w:sz w:val="18"/>
                <w:szCs w:val="18"/>
              </w:rPr>
              <w:t>Capítulo XVI, parte tercera, del Estatuto Orgánico del Sistema Financiero, el cual establece las normas para la prevención de actividades delictivas. Estas disposiciones legales aplican a las Organizaciones vigiladas por la Superintendencia de Economía Solidaria, acorde con lo dispuesto en el artículo 23 de la Ley 365 de 1997, modificado por el artículo 9 de la Ley 1121 de 2006, y el artículo 2.14.2 del Decreto 1068 de 2015.</w:t>
            </w:r>
          </w:p>
        </w:tc>
      </w:tr>
      <w:tr w14:paraId="0CE24AF2">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259" w:hRule="atLeast"/>
        </w:trPr>
        <w:tc>
          <w:tcPr>
            <w:tcW w:w="5000" w:type="pct"/>
            <w:gridSpan w:val="2"/>
            <w:shd w:val="clear" w:color="auto" w:fill="FBE4D5" w:themeFill="accent2" w:themeFillTint="33"/>
          </w:tcPr>
          <w:p w14:paraId="07F2E906">
            <w:pPr>
              <w:jc w:val="center"/>
              <w:rPr>
                <w:rFonts w:ascii="Century Gothic" w:hAnsi="Century Gothic" w:cs="Arial"/>
                <w:b/>
                <w:bCs/>
                <w:sz w:val="20"/>
                <w:szCs w:val="20"/>
              </w:rPr>
            </w:pPr>
            <w:r>
              <w:rPr>
                <w:rFonts w:ascii="Century Gothic" w:hAnsi="Century Gothic" w:cs="Arial"/>
                <w:b/>
                <w:bCs/>
                <w:sz w:val="20"/>
                <w:szCs w:val="20"/>
              </w:rPr>
              <w:t>SUPERINTENDENCIA DE ECONOMÍA SOLIDARIA</w:t>
            </w:r>
          </w:p>
        </w:tc>
      </w:tr>
      <w:tr w14:paraId="282D9CDA">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289" w:hRule="atLeast"/>
        </w:trPr>
        <w:tc>
          <w:tcPr>
            <w:tcW w:w="5000" w:type="pct"/>
            <w:gridSpan w:val="2"/>
          </w:tcPr>
          <w:p w14:paraId="6061EF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b w:val="0"/>
                <w:bCs/>
                <w:sz w:val="18"/>
                <w:szCs w:val="18"/>
              </w:rPr>
            </w:pPr>
            <w:r>
              <w:rPr>
                <w:rFonts w:ascii="Century Gothic" w:hAnsi="Century Gothic" w:cs="Arial"/>
                <w:b w:val="0"/>
                <w:bCs/>
                <w:sz w:val="18"/>
                <w:szCs w:val="18"/>
              </w:rPr>
              <w:t xml:space="preserve">Circulares Externas CE006/Marzo/25/2014, CE04/Enero/2017 y CE14/Diciembre/2018, expedidas por la Superintendencia de Economía Solidaria, en las cuales establece las instrucciones y políticas necesarias para la administración del riesgo de lavado de activos y la financiación del terrorismo que deben acatar las organizaciones vigiladas por dicha superintendencia.  </w:t>
            </w:r>
          </w:p>
        </w:tc>
      </w:tr>
    </w:tbl>
    <w:p w14:paraId="78E71622">
      <w:pPr>
        <w:jc w:val="center"/>
        <w:rPr>
          <w:rFonts w:ascii="Century Gothic" w:hAnsi="Century Gothic" w:cs="Arial"/>
          <w:b/>
          <w:sz w:val="22"/>
          <w:szCs w:val="22"/>
        </w:rPr>
      </w:pPr>
    </w:p>
    <w:p w14:paraId="5449065E">
      <w:pPr>
        <w:rPr>
          <w:rFonts w:ascii="Century Gothic" w:hAnsi="Century Gothic" w:cs="Helvetica" w:eastAsiaTheme="minorHAnsi"/>
          <w:sz w:val="22"/>
          <w:szCs w:val="22"/>
          <w:lang w:eastAsia="en-US"/>
        </w:rPr>
      </w:pPr>
      <w:r>
        <w:rPr>
          <w:rFonts w:ascii="Century Gothic" w:hAnsi="Century Gothic" w:cs="Helvetica" w:eastAsiaTheme="minorHAnsi"/>
          <w:sz w:val="22"/>
          <w:szCs w:val="22"/>
          <w:lang w:eastAsia="en-US"/>
        </w:rPr>
        <w:t>El marco legal existente en Colombia sobre prevención y control del lavado de activos y de la financiación del terrorismo tiene como base fundamental el desarrollo de sistemas que permitan a los distintos sectores de la economía, prevenir que las instituciones que los integran sean utilizadas directamente o a través de sus operaciones como instrumento para el lavado de activos y/o la canalización de recursos hacia la realización de actividades terroristas, (en adelante LA/FT) o cuando  se pretenda el ocultamiento de activos provenientes de dichas actividades</w:t>
      </w:r>
    </w:p>
    <w:p w14:paraId="10863345">
      <w:pPr>
        <w:rPr>
          <w:rFonts w:ascii="Century Gothic" w:hAnsi="Century Gothic" w:cs="Arial"/>
          <w:b/>
          <w:sz w:val="22"/>
          <w:szCs w:val="22"/>
        </w:rPr>
      </w:pPr>
    </w:p>
    <w:p w14:paraId="07699FDB">
      <w:pPr>
        <w:pStyle w:val="65"/>
        <w:numPr>
          <w:ilvl w:val="1"/>
          <w:numId w:val="8"/>
        </w:numPr>
        <w:contextualSpacing/>
        <w:rPr>
          <w:rFonts w:ascii="Century Gothic" w:hAnsi="Century Gothic" w:cs="Arial"/>
          <w:b/>
          <w:sz w:val="22"/>
          <w:szCs w:val="22"/>
        </w:rPr>
      </w:pPr>
      <w:r>
        <w:rPr>
          <w:rFonts w:ascii="Century Gothic" w:hAnsi="Century Gothic" w:cs="Arial"/>
          <w:b/>
          <w:sz w:val="22"/>
          <w:szCs w:val="22"/>
        </w:rPr>
        <w:t>NORMATIVIDAD INTERNACIONAL Y DECLARATORIAS</w:t>
      </w:r>
    </w:p>
    <w:p w14:paraId="7A265A77">
      <w:pPr>
        <w:contextualSpacing/>
        <w:rPr>
          <w:rFonts w:ascii="Century Gothic" w:hAnsi="Century Gothic" w:cs="Arial"/>
          <w:b/>
          <w:sz w:val="22"/>
          <w:szCs w:val="22"/>
        </w:rPr>
      </w:pPr>
    </w:p>
    <w:p w14:paraId="2C697321">
      <w:pPr>
        <w:autoSpaceDE w:val="0"/>
        <w:autoSpaceDN w:val="0"/>
        <w:adjustRightInd w:val="0"/>
        <w:contextualSpacing/>
        <w:rPr>
          <w:rFonts w:ascii="Century Gothic" w:hAnsi="Century Gothic" w:cs="Arial"/>
          <w:sz w:val="22"/>
          <w:szCs w:val="22"/>
        </w:rPr>
      </w:pPr>
      <w:r>
        <w:rPr>
          <w:rFonts w:ascii="Century Gothic" w:hAnsi="Century Gothic" w:cs="Arial"/>
          <w:sz w:val="22"/>
          <w:szCs w:val="22"/>
        </w:rPr>
        <w:t>De acuerdo a lo citado en las CE/04/2017 y CE/14/2018 emitidas por la Superintendencia de Economía Solidaria; la Entidad atiende los Estándares Internacionales proferidos por el GAFI – GAFILAT, y acogidos por dicha Superintendencia.</w:t>
      </w:r>
    </w:p>
    <w:p w14:paraId="6472820B">
      <w:pPr>
        <w:spacing w:before="240"/>
        <w:contextualSpacing/>
        <w:rPr>
          <w:rFonts w:ascii="Century Gothic" w:hAnsi="Century Gothic" w:cs="Arial"/>
          <w:sz w:val="22"/>
          <w:szCs w:val="22"/>
        </w:rPr>
      </w:pPr>
    </w:p>
    <w:p w14:paraId="17F3BDA9">
      <w:pPr>
        <w:spacing w:before="240"/>
        <w:contextualSpacing/>
        <w:rPr>
          <w:rFonts w:ascii="Century Gothic" w:hAnsi="Century Gothic" w:cs="Arial"/>
          <w:b/>
          <w:sz w:val="22"/>
          <w:szCs w:val="22"/>
        </w:rPr>
      </w:pPr>
      <w:r>
        <w:rPr>
          <w:rFonts w:ascii="Century Gothic" w:hAnsi="Century Gothic" w:cs="Arial"/>
          <w:b/>
          <w:sz w:val="22"/>
          <w:szCs w:val="22"/>
        </w:rPr>
        <w:t xml:space="preserve">GAFI </w:t>
      </w:r>
    </w:p>
    <w:p w14:paraId="7CBFB1D1">
      <w:pPr>
        <w:autoSpaceDE w:val="0"/>
        <w:autoSpaceDN w:val="0"/>
        <w:adjustRightInd w:val="0"/>
        <w:contextualSpacing/>
        <w:rPr>
          <w:rFonts w:ascii="Century Gothic" w:hAnsi="Century Gothic" w:cs="Arial"/>
          <w:sz w:val="22"/>
          <w:szCs w:val="22"/>
        </w:rPr>
      </w:pPr>
    </w:p>
    <w:p w14:paraId="61158C52">
      <w:pPr>
        <w:autoSpaceDE w:val="0"/>
        <w:autoSpaceDN w:val="0"/>
        <w:adjustRightInd w:val="0"/>
        <w:contextualSpacing/>
        <w:rPr>
          <w:rFonts w:ascii="Century Gothic" w:hAnsi="Century Gothic" w:cs="Arial"/>
          <w:sz w:val="22"/>
          <w:szCs w:val="22"/>
        </w:rPr>
      </w:pPr>
      <w:r>
        <w:rPr>
          <w:rFonts w:ascii="Century Gothic" w:hAnsi="Century Gothic" w:cs="Arial"/>
          <w:sz w:val="22"/>
          <w:szCs w:val="22"/>
        </w:rPr>
        <w:t>El Grupo de Acción Financiera Internacional, es un ente intergubernamental establecido en 1989, integrado por 36 miembros: 34 jurisdicciones y 02 organizaciones internacionales (La Comisión Europea y el Consejo de Cooperación del Golfo) y cuyo objetivo es fijar estándares internacionales y promover la implementación efectiva de medidas legales, regulatorias y operativas para combatir el lavado de activos, el financiamiento del terrorismo y el financiamiento de la proliferación de armas de destrucción masiva, y otras amenazas a la integridad del sistema financiero internacional.</w:t>
      </w:r>
    </w:p>
    <w:p w14:paraId="12B50720">
      <w:pPr>
        <w:autoSpaceDE w:val="0"/>
        <w:autoSpaceDN w:val="0"/>
        <w:adjustRightInd w:val="0"/>
        <w:contextualSpacing/>
        <w:rPr>
          <w:rFonts w:ascii="Century Gothic" w:hAnsi="Century Gothic" w:cs="Arial"/>
          <w:sz w:val="22"/>
          <w:szCs w:val="22"/>
        </w:rPr>
      </w:pPr>
    </w:p>
    <w:p w14:paraId="45DF083A">
      <w:pPr>
        <w:autoSpaceDE w:val="0"/>
        <w:autoSpaceDN w:val="0"/>
        <w:adjustRightInd w:val="0"/>
        <w:contextualSpacing/>
        <w:rPr>
          <w:rFonts w:ascii="Century Gothic" w:hAnsi="Century Gothic" w:cs="Arial"/>
          <w:sz w:val="22"/>
          <w:szCs w:val="22"/>
        </w:rPr>
      </w:pPr>
      <w:r>
        <w:rPr>
          <w:rFonts w:ascii="Century Gothic" w:hAnsi="Century Gothic" w:cs="Arial"/>
          <w:sz w:val="22"/>
          <w:szCs w:val="22"/>
        </w:rPr>
        <w:t xml:space="preserve">Las Recomendaciones del GAFI constituyen un esquema internacional de medidas completo y consistente que los países deberían implementar adaptadas a sus circunstancias particulares para combatir estos delitos. </w:t>
      </w:r>
    </w:p>
    <w:p w14:paraId="184B7C5A">
      <w:pPr>
        <w:autoSpaceDE w:val="0"/>
        <w:autoSpaceDN w:val="0"/>
        <w:adjustRightInd w:val="0"/>
        <w:contextualSpacing/>
        <w:rPr>
          <w:rFonts w:ascii="Century Gothic" w:hAnsi="Century Gothic" w:cs="Arial"/>
          <w:snapToGrid w:val="0"/>
          <w:sz w:val="22"/>
          <w:szCs w:val="22"/>
        </w:rPr>
      </w:pPr>
    </w:p>
    <w:p w14:paraId="22EE5606">
      <w:pPr>
        <w:spacing w:before="240"/>
        <w:contextualSpacing/>
        <w:rPr>
          <w:rFonts w:ascii="Century Gothic" w:hAnsi="Century Gothic" w:cs="Arial"/>
          <w:b/>
          <w:sz w:val="22"/>
          <w:szCs w:val="22"/>
        </w:rPr>
      </w:pPr>
      <w:r>
        <w:rPr>
          <w:rFonts w:ascii="Century Gothic" w:hAnsi="Century Gothic" w:cs="Arial"/>
          <w:b/>
          <w:sz w:val="22"/>
          <w:szCs w:val="22"/>
        </w:rPr>
        <w:t>GAFILAT</w:t>
      </w:r>
    </w:p>
    <w:p w14:paraId="2C66E90A">
      <w:pPr>
        <w:spacing w:before="240"/>
        <w:contextualSpacing/>
        <w:rPr>
          <w:rFonts w:ascii="Century Gothic" w:hAnsi="Century Gothic" w:cs="Arial"/>
          <w:sz w:val="22"/>
          <w:szCs w:val="22"/>
        </w:rPr>
      </w:pPr>
    </w:p>
    <w:p w14:paraId="0306FBB4">
      <w:pPr>
        <w:autoSpaceDE w:val="0"/>
        <w:autoSpaceDN w:val="0"/>
        <w:adjustRightInd w:val="0"/>
        <w:contextualSpacing/>
        <w:rPr>
          <w:rFonts w:ascii="Century Gothic" w:hAnsi="Century Gothic" w:cs="Arial"/>
          <w:sz w:val="22"/>
          <w:szCs w:val="22"/>
        </w:rPr>
      </w:pPr>
      <w:r>
        <w:rPr>
          <w:rFonts w:ascii="Century Gothic" w:hAnsi="Century Gothic" w:cs="Arial"/>
          <w:sz w:val="22"/>
          <w:szCs w:val="22"/>
        </w:rPr>
        <w:t xml:space="preserve">Grupo de Acción Financiera de Latinoamérica (GAFILAT) antes de nominado Grupo de Acción Financiera de Sudamérica (GAFISUD). Es una organización intergubernamental de base regional  que agrupa 16 países de América del Sur, Centroamérica, América del Norte y el Caribe y tiene por objetivo combatir el lavado de dinero y la financiación del terrorismo, a través del compromiso de mejora continua de las políticas nacionales contra ambos temas y la profundización en los distintos mecanismos de cooperación entre los países miembros. </w:t>
      </w:r>
    </w:p>
    <w:p w14:paraId="3223061F">
      <w:pPr>
        <w:autoSpaceDE w:val="0"/>
        <w:autoSpaceDN w:val="0"/>
        <w:adjustRightInd w:val="0"/>
        <w:rPr>
          <w:rFonts w:ascii="Century Gothic" w:hAnsi="Century Gothic" w:cs="Arial"/>
          <w:sz w:val="22"/>
          <w:szCs w:val="22"/>
        </w:rPr>
      </w:pPr>
    </w:p>
    <w:p w14:paraId="70A3122F">
      <w:pPr>
        <w:autoSpaceDE w:val="0"/>
        <w:autoSpaceDN w:val="0"/>
        <w:adjustRightInd w:val="0"/>
        <w:rPr>
          <w:rFonts w:ascii="Century Gothic" w:hAnsi="Century Gothic" w:cs="Calibri" w:eastAsiaTheme="minorHAnsi"/>
          <w:b/>
          <w:bCs/>
          <w:color w:val="000000"/>
          <w:sz w:val="22"/>
          <w:szCs w:val="22"/>
          <w:lang w:eastAsia="en-US"/>
        </w:rPr>
      </w:pPr>
      <w:r>
        <w:rPr>
          <w:rFonts w:ascii="Century Gothic" w:hAnsi="Century Gothic" w:cs="Calibri" w:eastAsiaTheme="minorHAnsi"/>
          <w:b/>
          <w:bCs/>
          <w:color w:val="000000"/>
          <w:sz w:val="22"/>
          <w:szCs w:val="22"/>
          <w:lang w:eastAsia="en-US"/>
        </w:rPr>
        <w:t xml:space="preserve">RECOMENDACIONES ESPECIALES DEL GAFI Y GAFILAT SOBRE FINANCIACION DEL TERRORISMO </w:t>
      </w:r>
    </w:p>
    <w:p w14:paraId="48AE1C04">
      <w:pPr>
        <w:autoSpaceDE w:val="0"/>
        <w:autoSpaceDN w:val="0"/>
        <w:adjustRightInd w:val="0"/>
        <w:rPr>
          <w:rFonts w:ascii="Century Gothic" w:hAnsi="Century Gothic" w:cs="Calibri" w:eastAsiaTheme="minorHAnsi"/>
          <w:color w:val="000000"/>
          <w:sz w:val="22"/>
          <w:szCs w:val="22"/>
          <w:lang w:eastAsia="en-US"/>
        </w:rPr>
      </w:pPr>
    </w:p>
    <w:p w14:paraId="3AFD7B0D">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En reconocimiento de la importancia vital que tiene la realización de acciones para combatir la financiación del terrorismo, GAFILAT ha acordado la adopción de las siguientes Recomendaciones del GAFI que, en combinación con las Cuarenta Recomendaciones, establecen el marco básico para prevenir y suprimir la financiación del terrorismo y de los actos terroristas. </w:t>
      </w:r>
    </w:p>
    <w:p w14:paraId="2BE5D62C">
      <w:pPr>
        <w:autoSpaceDE w:val="0"/>
        <w:autoSpaceDN w:val="0"/>
        <w:adjustRightInd w:val="0"/>
        <w:rPr>
          <w:rFonts w:ascii="Century Gothic" w:hAnsi="Century Gothic" w:cs="Calibri" w:eastAsiaTheme="minorHAnsi"/>
          <w:color w:val="000000"/>
          <w:sz w:val="22"/>
          <w:szCs w:val="22"/>
          <w:lang w:eastAsia="en-US"/>
        </w:rPr>
      </w:pPr>
    </w:p>
    <w:p w14:paraId="296683CE">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b/>
          <w:bCs/>
          <w:iCs/>
          <w:color w:val="000000"/>
          <w:sz w:val="22"/>
          <w:szCs w:val="22"/>
          <w:lang w:eastAsia="en-US"/>
        </w:rPr>
        <w:t xml:space="preserve">Ratificación y ejecución de los instrumentos de las Naciones Unidas. </w:t>
      </w:r>
      <w:r>
        <w:rPr>
          <w:rFonts w:ascii="Century Gothic" w:hAnsi="Century Gothic" w:cs="Calibri" w:eastAsiaTheme="minorHAnsi"/>
          <w:color w:val="000000"/>
          <w:sz w:val="22"/>
          <w:szCs w:val="22"/>
          <w:lang w:eastAsia="en-US"/>
        </w:rPr>
        <w:t xml:space="preserve">Cada país debe tomar inmediatamente los pasos necesarios para ratificar e implementar plenamente la Convención Internacional de las Naciones Unidas para la Supresión de la Financiación del Terrorismo de 1999. </w:t>
      </w:r>
    </w:p>
    <w:p w14:paraId="2B5625A2">
      <w:pPr>
        <w:autoSpaceDE w:val="0"/>
        <w:autoSpaceDN w:val="0"/>
        <w:adjustRightInd w:val="0"/>
        <w:rPr>
          <w:rFonts w:ascii="Century Gothic" w:hAnsi="Century Gothic" w:cs="Calibri" w:eastAsiaTheme="minorHAnsi"/>
          <w:color w:val="000000"/>
          <w:sz w:val="22"/>
          <w:szCs w:val="22"/>
          <w:lang w:eastAsia="en-US"/>
        </w:rPr>
      </w:pPr>
    </w:p>
    <w:p w14:paraId="5CDB46C2">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Asimismo, los países deben implementar de inmediato las resoluciones de las Naciones Unidas relativas a la prevención y supresión de la financiación de actos terroristas, particularmente la Resolución 1373 del Consejo de Seguridad de Naciones Unidas. </w:t>
      </w:r>
    </w:p>
    <w:p w14:paraId="22EE94EA">
      <w:pPr>
        <w:autoSpaceDE w:val="0"/>
        <w:autoSpaceDN w:val="0"/>
        <w:adjustRightInd w:val="0"/>
        <w:rPr>
          <w:rFonts w:ascii="Century Gothic" w:hAnsi="Century Gothic" w:cs="Calibri" w:eastAsiaTheme="minorHAnsi"/>
          <w:color w:val="000000"/>
          <w:sz w:val="22"/>
          <w:szCs w:val="22"/>
          <w:lang w:eastAsia="en-US"/>
        </w:rPr>
      </w:pPr>
    </w:p>
    <w:p w14:paraId="633660E8">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b/>
          <w:bCs/>
          <w:iCs/>
          <w:color w:val="000000"/>
          <w:sz w:val="22"/>
          <w:szCs w:val="22"/>
          <w:lang w:eastAsia="en-US"/>
        </w:rPr>
        <w:t xml:space="preserve">Tipificación de la financiación del terrorismo y el blanqueo asociado. </w:t>
      </w:r>
      <w:r>
        <w:rPr>
          <w:rFonts w:ascii="Century Gothic" w:hAnsi="Century Gothic" w:cs="Calibri" w:eastAsiaTheme="minorHAnsi"/>
          <w:color w:val="000000"/>
          <w:sz w:val="22"/>
          <w:szCs w:val="22"/>
          <w:lang w:eastAsia="en-US"/>
        </w:rPr>
        <w:t xml:space="preserve">Cada país debe tipificar como delito la financiación del terrorismo, de los actos terroristas y de las organizaciones terroristas. Los países deberán asegurarse que tales delitos se establezcan como delitos previos del de lavado de activos. </w:t>
      </w:r>
    </w:p>
    <w:p w14:paraId="35D39F6A">
      <w:pPr>
        <w:autoSpaceDE w:val="0"/>
        <w:autoSpaceDN w:val="0"/>
        <w:adjustRightInd w:val="0"/>
        <w:rPr>
          <w:rFonts w:ascii="Century Gothic" w:hAnsi="Century Gothic" w:cs="Calibri" w:eastAsiaTheme="minorHAnsi"/>
          <w:color w:val="000000"/>
          <w:sz w:val="22"/>
          <w:szCs w:val="22"/>
          <w:lang w:eastAsia="en-US"/>
        </w:rPr>
      </w:pPr>
    </w:p>
    <w:p w14:paraId="38309BB8">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b/>
          <w:bCs/>
          <w:iCs/>
          <w:color w:val="000000"/>
          <w:sz w:val="22"/>
          <w:szCs w:val="22"/>
          <w:lang w:eastAsia="en-US"/>
        </w:rPr>
        <w:t xml:space="preserve">Congelamiento y decomiso de activos terroristas. </w:t>
      </w:r>
      <w:r>
        <w:rPr>
          <w:rFonts w:ascii="Century Gothic" w:hAnsi="Century Gothic" w:cs="Calibri" w:eastAsiaTheme="minorHAnsi"/>
          <w:color w:val="000000"/>
          <w:sz w:val="22"/>
          <w:szCs w:val="22"/>
          <w:lang w:eastAsia="en-US"/>
        </w:rPr>
        <w:t xml:space="preserve">Cada país deberá implementar medidas para congelar sin dilación los fondos u otros activos de los terroristas, de aquellos que financien el terrorismo y de las organizaciones terroristas, de acuerdo con las resoluciones de las Naciones Unidas relativas a la prevención y supresión de la financiación de los actos terroristas. </w:t>
      </w:r>
    </w:p>
    <w:p w14:paraId="12976726">
      <w:pPr>
        <w:autoSpaceDE w:val="0"/>
        <w:autoSpaceDN w:val="0"/>
        <w:adjustRightInd w:val="0"/>
        <w:rPr>
          <w:rFonts w:ascii="Century Gothic" w:hAnsi="Century Gothic" w:cs="Calibri" w:eastAsiaTheme="minorHAnsi"/>
          <w:color w:val="000000"/>
          <w:sz w:val="22"/>
          <w:szCs w:val="22"/>
          <w:lang w:eastAsia="en-US"/>
        </w:rPr>
      </w:pPr>
    </w:p>
    <w:p w14:paraId="58862CDC">
      <w:pPr>
        <w:pStyle w:val="86"/>
        <w:jc w:val="both"/>
        <w:rPr>
          <w:rFonts w:ascii="Century Gothic" w:hAnsi="Century Gothic" w:cs="Calibri"/>
          <w:sz w:val="22"/>
          <w:szCs w:val="22"/>
        </w:rPr>
      </w:pPr>
      <w:r>
        <w:rPr>
          <w:rFonts w:ascii="Century Gothic" w:hAnsi="Century Gothic" w:cs="Calibri"/>
          <w:sz w:val="22"/>
          <w:szCs w:val="22"/>
        </w:rPr>
        <w:t xml:space="preserve">Cada país también deberá adoptar e implementar las medidas, incluidas las legislativas, que permitan a las autoridades competentes la incautación, el embargo y el decomiso de la propiedad que procede, se utiliza o se intenta utilizar o destinar a la financiación de terrorismo, los actos terroristas o las organizaciones terroristas. </w:t>
      </w:r>
    </w:p>
    <w:p w14:paraId="555CD4C6">
      <w:pPr>
        <w:pStyle w:val="86"/>
        <w:jc w:val="both"/>
        <w:rPr>
          <w:rFonts w:ascii="Century Gothic" w:hAnsi="Century Gothic" w:cs="Calibri"/>
          <w:sz w:val="22"/>
          <w:szCs w:val="22"/>
        </w:rPr>
      </w:pPr>
    </w:p>
    <w:p w14:paraId="2E73DA5A">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b/>
          <w:bCs/>
          <w:iCs/>
          <w:color w:val="000000"/>
          <w:sz w:val="22"/>
          <w:szCs w:val="22"/>
          <w:lang w:eastAsia="en-US"/>
        </w:rPr>
        <w:t xml:space="preserve">Informe de transacciones sospechosas relativas al terrorismo. </w:t>
      </w:r>
      <w:r>
        <w:rPr>
          <w:rFonts w:ascii="Century Gothic" w:hAnsi="Century Gothic" w:cs="Calibri" w:eastAsiaTheme="minorHAnsi"/>
          <w:color w:val="000000"/>
          <w:sz w:val="22"/>
          <w:szCs w:val="22"/>
          <w:lang w:eastAsia="en-US"/>
        </w:rPr>
        <w:t xml:space="preserve">Si las instituciones financieras u otros negocios o entidades sujetas a las obligaciones de control del lavado de activos, sospechan o tienen indicios razonables para sospechar que existen fondos vinculados o relacionados con o que pueden ser utilizados para el terrorismo, los actos terroristas o por organizaciones terroristas, se les debe obligar a que informen rápidamente de sus sospechas a las autoridades competentes. </w:t>
      </w:r>
    </w:p>
    <w:p w14:paraId="655BA411">
      <w:pPr>
        <w:autoSpaceDE w:val="0"/>
        <w:autoSpaceDN w:val="0"/>
        <w:adjustRightInd w:val="0"/>
        <w:rPr>
          <w:rFonts w:ascii="Century Gothic" w:hAnsi="Century Gothic" w:cs="Calibri" w:eastAsiaTheme="minorHAnsi"/>
          <w:color w:val="000000"/>
          <w:sz w:val="22"/>
          <w:szCs w:val="22"/>
          <w:lang w:eastAsia="en-US"/>
        </w:rPr>
      </w:pPr>
    </w:p>
    <w:p w14:paraId="2D8C6DC9">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b/>
          <w:bCs/>
          <w:iCs/>
          <w:color w:val="000000"/>
          <w:sz w:val="22"/>
          <w:szCs w:val="22"/>
          <w:lang w:eastAsia="en-US"/>
        </w:rPr>
        <w:t xml:space="preserve">Cooperación internacional. </w:t>
      </w:r>
      <w:r>
        <w:rPr>
          <w:rFonts w:ascii="Century Gothic" w:hAnsi="Century Gothic" w:cs="Calibri" w:eastAsiaTheme="minorHAnsi"/>
          <w:color w:val="000000"/>
          <w:sz w:val="22"/>
          <w:szCs w:val="22"/>
          <w:lang w:eastAsia="en-US"/>
        </w:rPr>
        <w:t xml:space="preserve">Cada país deberá proporcionar a otro país, sobre la base de un tratado, acuerdo o mecanismo de asistencia mutua legal o intercambio de información, el máximo grado posible de asistencia en conexión con investigaciones, informes y procedimientos criminales, civiles y administrativos relativos a la financiación del terrorismo, de los actos terroristas y de las organizaciones terroristas. </w:t>
      </w:r>
    </w:p>
    <w:p w14:paraId="07B20ED9">
      <w:pPr>
        <w:autoSpaceDE w:val="0"/>
        <w:autoSpaceDN w:val="0"/>
        <w:adjustRightInd w:val="0"/>
        <w:rPr>
          <w:rFonts w:ascii="Century Gothic" w:hAnsi="Century Gothic" w:cs="Calibri" w:eastAsiaTheme="minorHAnsi"/>
          <w:color w:val="000000"/>
          <w:sz w:val="22"/>
          <w:szCs w:val="22"/>
          <w:lang w:eastAsia="en-US"/>
        </w:rPr>
      </w:pPr>
    </w:p>
    <w:p w14:paraId="7F5C8F9B">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Además, los países deberían tomar todas las medidas posibles para asegurar que se denegará el refugio a los individuos acusados de financiar el terrorismo, y deben contar con procedimientos vigentes para extraditar, cuando sea posible, a tales individuos. </w:t>
      </w:r>
    </w:p>
    <w:p w14:paraId="54F0592C">
      <w:pPr>
        <w:autoSpaceDE w:val="0"/>
        <w:autoSpaceDN w:val="0"/>
        <w:adjustRightInd w:val="0"/>
        <w:rPr>
          <w:rFonts w:ascii="Century Gothic" w:hAnsi="Century Gothic" w:cs="Calibri" w:eastAsiaTheme="minorHAnsi"/>
          <w:color w:val="000000"/>
          <w:sz w:val="22"/>
          <w:szCs w:val="22"/>
          <w:lang w:eastAsia="en-US"/>
        </w:rPr>
      </w:pPr>
    </w:p>
    <w:p w14:paraId="1CFE3A7A">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b/>
          <w:bCs/>
          <w:iCs/>
          <w:color w:val="000000"/>
          <w:sz w:val="22"/>
          <w:szCs w:val="22"/>
          <w:lang w:eastAsia="en-US"/>
        </w:rPr>
        <w:t xml:space="preserve">Sistemas alternativos de Envíos de fondos. </w:t>
      </w:r>
      <w:r>
        <w:rPr>
          <w:rFonts w:ascii="Century Gothic" w:hAnsi="Century Gothic" w:cs="Calibri" w:eastAsiaTheme="minorHAnsi"/>
          <w:color w:val="000000"/>
          <w:sz w:val="22"/>
          <w:szCs w:val="22"/>
          <w:lang w:eastAsia="en-US"/>
        </w:rPr>
        <w:t xml:space="preserve">Los países deberán tomar todas las medidas posibles para asegurar que las personas físicas y jurídicas, incluyendo los agentes, que brindan servicios de transmisión de dinero o títulos valores, incluyendo las transferencias a través de redes o sistemas informales, deban estar autorizadas o registradas y sujetas a todas las Recomendaciones del GAFI aplicables a los bancos y a las instituciones financieras no bancarias. Cada país deberá asegurar que a las personas físicas o jurídicas que realicen este servicio ilegalmente se les impongan sanciones administrativas, civiles o penales. </w:t>
      </w:r>
    </w:p>
    <w:p w14:paraId="2399CB9F">
      <w:pPr>
        <w:autoSpaceDE w:val="0"/>
        <w:autoSpaceDN w:val="0"/>
        <w:adjustRightInd w:val="0"/>
        <w:rPr>
          <w:rFonts w:ascii="Century Gothic" w:hAnsi="Century Gothic" w:cs="Calibri" w:eastAsiaTheme="minorHAnsi"/>
          <w:color w:val="000000"/>
          <w:sz w:val="22"/>
          <w:szCs w:val="22"/>
          <w:lang w:eastAsia="en-US"/>
        </w:rPr>
      </w:pPr>
    </w:p>
    <w:p w14:paraId="04AE926E">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b/>
          <w:bCs/>
          <w:iCs/>
          <w:color w:val="000000"/>
          <w:sz w:val="22"/>
          <w:szCs w:val="22"/>
          <w:lang w:eastAsia="en-US"/>
        </w:rPr>
        <w:t xml:space="preserve">Transferencias por cable. </w:t>
      </w:r>
      <w:r>
        <w:rPr>
          <w:rFonts w:ascii="Century Gothic" w:hAnsi="Century Gothic" w:cs="Calibri" w:eastAsiaTheme="minorHAnsi"/>
          <w:color w:val="000000"/>
          <w:sz w:val="22"/>
          <w:szCs w:val="22"/>
          <w:lang w:eastAsia="en-US"/>
        </w:rPr>
        <w:t>Los países deben tomar medidas para exigir a las instituciones financieras, incluyendo a las que se dedican al giro de dinero o títulos valores, que incluyan información adecuada y significativa sobre el ordenante (nombre, domicilio y número de cuenta) en las transferencias de fondos y mensajes relativos a las mismas; dicha información debe permanecer con la transferencia o mensaje relativo a ella a través de la cadena de pago.</w:t>
      </w:r>
    </w:p>
    <w:p w14:paraId="63B568EE">
      <w:pPr>
        <w:autoSpaceDE w:val="0"/>
        <w:autoSpaceDN w:val="0"/>
        <w:adjustRightInd w:val="0"/>
        <w:rPr>
          <w:rFonts w:ascii="Century Gothic" w:hAnsi="Century Gothic" w:cs="Calibri" w:eastAsiaTheme="minorHAnsi"/>
          <w:color w:val="000000"/>
          <w:sz w:val="22"/>
          <w:szCs w:val="22"/>
          <w:lang w:eastAsia="en-US"/>
        </w:rPr>
      </w:pPr>
    </w:p>
    <w:p w14:paraId="093F001A">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Los países deben tomar medidas para asegurar que las instituciones financieras, incluyendo a las que se dedican al giro de dinero o títulos valores, realicen un examen detallado y vigilen las transferencias de fondos de actividades sospechosas que no contengan toda la información acerca del ordenante (nombre, domicilio y número de cuenta). </w:t>
      </w:r>
    </w:p>
    <w:p w14:paraId="5E25560C">
      <w:pPr>
        <w:autoSpaceDE w:val="0"/>
        <w:autoSpaceDN w:val="0"/>
        <w:adjustRightInd w:val="0"/>
        <w:rPr>
          <w:rFonts w:ascii="Century Gothic" w:hAnsi="Century Gothic" w:cs="Calibri" w:eastAsiaTheme="minorHAnsi"/>
          <w:color w:val="000000"/>
          <w:sz w:val="22"/>
          <w:szCs w:val="22"/>
          <w:lang w:eastAsia="en-US"/>
        </w:rPr>
      </w:pPr>
    </w:p>
    <w:p w14:paraId="50F396D3">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Calibri" w:eastAsiaTheme="minorHAnsi"/>
          <w:color w:val="000000"/>
          <w:sz w:val="22"/>
          <w:szCs w:val="22"/>
          <w:lang w:eastAsia="en-US"/>
        </w:rPr>
        <w:t>El Consejo de Seguridad de las Naciones Unidas tiene como principal responsabilidad el mantenimiento de la paz y la seguridad internacional conforme a la carta a de las Naciones Unidas</w:t>
      </w:r>
      <w:r>
        <w:rPr>
          <w:rFonts w:ascii="Century Gothic" w:hAnsi="Century Gothic" w:cs="Arial" w:eastAsiaTheme="minorHAnsi"/>
          <w:color w:val="000000"/>
          <w:sz w:val="22"/>
          <w:szCs w:val="22"/>
          <w:lang w:eastAsia="en-US"/>
        </w:rPr>
        <w:t xml:space="preserve">. </w:t>
      </w:r>
    </w:p>
    <w:p w14:paraId="5962E88B">
      <w:pPr>
        <w:autoSpaceDE w:val="0"/>
        <w:autoSpaceDN w:val="0"/>
        <w:adjustRightInd w:val="0"/>
        <w:rPr>
          <w:rFonts w:ascii="Century Gothic" w:hAnsi="Century Gothic" w:cs="Arial" w:eastAsiaTheme="minorHAnsi"/>
          <w:color w:val="000000"/>
          <w:sz w:val="22"/>
          <w:szCs w:val="22"/>
          <w:lang w:eastAsia="en-US"/>
        </w:rPr>
      </w:pPr>
    </w:p>
    <w:p w14:paraId="2BEDEB07">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b/>
          <w:bCs/>
          <w:iCs/>
          <w:color w:val="000000"/>
          <w:sz w:val="22"/>
          <w:szCs w:val="22"/>
          <w:lang w:eastAsia="en-US"/>
        </w:rPr>
        <w:t xml:space="preserve">Organizaciones sin fines de lucro. </w:t>
      </w:r>
      <w:r>
        <w:rPr>
          <w:rFonts w:ascii="Century Gothic" w:hAnsi="Century Gothic" w:cs="Calibri" w:eastAsiaTheme="minorHAnsi"/>
          <w:color w:val="000000"/>
          <w:sz w:val="22"/>
          <w:szCs w:val="22"/>
          <w:lang w:eastAsia="en-US"/>
        </w:rPr>
        <w:t xml:space="preserve">Los países deben revisar las adecuaciones de leyes y reglamentos referidas a entidades que pueden ser utilizadas indebidamente para la financiación del terrorismo. Las organizaciones sin fines de lucro son particularmente vulnerables y los países deben asegurar que las mismas no sean utilizadas ilegalmente: </w:t>
      </w:r>
    </w:p>
    <w:p w14:paraId="428002B3">
      <w:pPr>
        <w:autoSpaceDE w:val="0"/>
        <w:autoSpaceDN w:val="0"/>
        <w:adjustRightInd w:val="0"/>
        <w:rPr>
          <w:rFonts w:ascii="Century Gothic" w:hAnsi="Century Gothic" w:cs="Calibri" w:eastAsiaTheme="minorHAnsi"/>
          <w:color w:val="000000"/>
          <w:sz w:val="22"/>
          <w:szCs w:val="22"/>
          <w:lang w:eastAsia="en-US"/>
        </w:rPr>
      </w:pPr>
    </w:p>
    <w:p w14:paraId="615E453B">
      <w:pPr>
        <w:pStyle w:val="65"/>
        <w:numPr>
          <w:ilvl w:val="1"/>
          <w:numId w:val="9"/>
        </w:numPr>
        <w:autoSpaceDE w:val="0"/>
        <w:autoSpaceDN w:val="0"/>
        <w:adjustRightInd w:val="0"/>
        <w:spacing w:after="35"/>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Por organizaciones terroristas que aparezcan como entidades legales; </w:t>
      </w:r>
    </w:p>
    <w:p w14:paraId="7892D287">
      <w:pPr>
        <w:pStyle w:val="65"/>
        <w:numPr>
          <w:ilvl w:val="1"/>
          <w:numId w:val="9"/>
        </w:numPr>
        <w:autoSpaceDE w:val="0"/>
        <w:autoSpaceDN w:val="0"/>
        <w:adjustRightInd w:val="0"/>
        <w:spacing w:after="35"/>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Para explotar entidades legales como conducto para la financiación del terrorismo, incluyendo el propósito de evitar las medidas de congelamiento de activos y </w:t>
      </w:r>
    </w:p>
    <w:p w14:paraId="33A38D0A">
      <w:pPr>
        <w:pStyle w:val="65"/>
        <w:numPr>
          <w:ilvl w:val="1"/>
          <w:numId w:val="9"/>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Para esconder y ocultar el desvío clandestino de fondos destinados a propósitos legales hacia organizaciones terroristas. </w:t>
      </w:r>
    </w:p>
    <w:p w14:paraId="41876D45">
      <w:pPr>
        <w:autoSpaceDE w:val="0"/>
        <w:autoSpaceDN w:val="0"/>
        <w:adjustRightInd w:val="0"/>
        <w:rPr>
          <w:rFonts w:ascii="Century Gothic" w:hAnsi="Century Gothic" w:cs="Arial"/>
          <w:sz w:val="22"/>
          <w:szCs w:val="22"/>
        </w:rPr>
      </w:pPr>
    </w:p>
    <w:p w14:paraId="6949EF61">
      <w:pPr>
        <w:autoSpaceDE w:val="0"/>
        <w:autoSpaceDN w:val="0"/>
        <w:adjustRightInd w:val="0"/>
        <w:rPr>
          <w:rFonts w:ascii="Century Gothic" w:hAnsi="Century Gothic" w:cs="Arial"/>
          <w:sz w:val="22"/>
          <w:szCs w:val="22"/>
        </w:rPr>
      </w:pPr>
    </w:p>
    <w:p w14:paraId="344BB258">
      <w:pPr>
        <w:pStyle w:val="65"/>
        <w:numPr>
          <w:ilvl w:val="1"/>
          <w:numId w:val="8"/>
        </w:numPr>
        <w:contextualSpacing/>
        <w:rPr>
          <w:rFonts w:ascii="Century Gothic" w:hAnsi="Century Gothic" w:cs="Arial"/>
          <w:b/>
          <w:sz w:val="22"/>
          <w:szCs w:val="22"/>
        </w:rPr>
      </w:pPr>
      <w:r>
        <w:rPr>
          <w:rFonts w:ascii="Century Gothic" w:hAnsi="Century Gothic" w:cs="Arial"/>
          <w:b/>
          <w:sz w:val="22"/>
          <w:szCs w:val="22"/>
        </w:rPr>
        <w:t>NORMATIVIDAD AL INTERIOR DE LA ENTIDAD</w:t>
      </w:r>
    </w:p>
    <w:p w14:paraId="4F663210">
      <w:pPr>
        <w:contextualSpacing/>
        <w:rPr>
          <w:rFonts w:ascii="Century Gothic" w:hAnsi="Century Gothic" w:cs="Arial"/>
          <w:b/>
          <w:sz w:val="22"/>
          <w:szCs w:val="22"/>
        </w:rPr>
      </w:pPr>
    </w:p>
    <w:p w14:paraId="52741F09">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El marco normativo de la entidad se fundamentará en los siguientes documentos aprobados por el Consejo de Administración. </w:t>
      </w:r>
    </w:p>
    <w:p w14:paraId="176BBC84">
      <w:pPr>
        <w:autoSpaceDE w:val="0"/>
        <w:autoSpaceDN w:val="0"/>
        <w:adjustRightInd w:val="0"/>
        <w:rPr>
          <w:rFonts w:ascii="Century Gothic" w:hAnsi="Century Gothic" w:cs="Calibri" w:eastAsiaTheme="minorHAnsi"/>
          <w:color w:val="000000"/>
          <w:sz w:val="22"/>
          <w:szCs w:val="22"/>
          <w:lang w:eastAsia="en-US"/>
        </w:rPr>
      </w:pPr>
    </w:p>
    <w:p w14:paraId="59DC968A">
      <w:pPr>
        <w:pStyle w:val="65"/>
        <w:numPr>
          <w:ilvl w:val="0"/>
          <w:numId w:val="10"/>
        </w:numPr>
        <w:rPr>
          <w:rFonts w:ascii="Century Gothic" w:hAnsi="Century Gothic" w:cs="Arial"/>
          <w:sz w:val="22"/>
          <w:szCs w:val="22"/>
        </w:rPr>
      </w:pPr>
      <w:r>
        <w:rPr>
          <w:rFonts w:ascii="Century Gothic" w:hAnsi="Century Gothic" w:cs="Calibri" w:eastAsiaTheme="minorHAnsi"/>
          <w:color w:val="000000"/>
          <w:sz w:val="22"/>
          <w:szCs w:val="22"/>
          <w:lang w:eastAsia="en-US"/>
        </w:rPr>
        <w:t xml:space="preserve">Manual SARLAFT, en el cual se encuentran </w:t>
      </w:r>
      <w:r>
        <w:rPr>
          <w:rFonts w:ascii="Century Gothic" w:hAnsi="Century Gothic" w:eastAsia="Calibri" w:cs="Arial"/>
          <w:bCs/>
          <w:sz w:val="22"/>
          <w:szCs w:val="22"/>
        </w:rPr>
        <w:t>los procedimientos, los mecanismos e instrumentos para la prevención y el control del lavado de activos y la financiación del terrorismo en la entidad.</w:t>
      </w:r>
    </w:p>
    <w:p w14:paraId="2AE9F72A">
      <w:pPr>
        <w:pStyle w:val="65"/>
        <w:numPr>
          <w:ilvl w:val="1"/>
          <w:numId w:val="11"/>
        </w:numPr>
        <w:autoSpaceDE w:val="0"/>
        <w:autoSpaceDN w:val="0"/>
        <w:adjustRightInd w:val="0"/>
        <w:jc w:val="left"/>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Reglamento Interno de Trabajo. </w:t>
      </w:r>
    </w:p>
    <w:p w14:paraId="6CBBC379">
      <w:pPr>
        <w:autoSpaceDE w:val="0"/>
        <w:autoSpaceDN w:val="0"/>
        <w:adjustRightInd w:val="0"/>
        <w:jc w:val="left"/>
        <w:rPr>
          <w:rFonts w:ascii="Century Gothic" w:hAnsi="Century Gothic" w:cs="Calibri" w:eastAsiaTheme="minorHAnsi"/>
          <w:color w:val="000000"/>
          <w:sz w:val="22"/>
          <w:szCs w:val="22"/>
          <w:lang w:eastAsia="en-US"/>
        </w:rPr>
      </w:pPr>
    </w:p>
    <w:p w14:paraId="473B10D5">
      <w:pPr>
        <w:contextualSpacing/>
        <w:rPr>
          <w:rFonts w:ascii="Century Gothic" w:hAnsi="Century Gothic" w:cs="Arial"/>
          <w:b/>
          <w:sz w:val="22"/>
          <w:szCs w:val="22"/>
        </w:rPr>
      </w:pPr>
      <w:r>
        <w:rPr>
          <w:rFonts w:ascii="Century Gothic" w:hAnsi="Century Gothic" w:cs="Calibri" w:eastAsiaTheme="minorHAnsi"/>
          <w:color w:val="000000"/>
          <w:sz w:val="22"/>
          <w:szCs w:val="22"/>
          <w:lang w:eastAsia="en-US"/>
        </w:rPr>
        <w:t>De igual forma, se deberán atender rigurosamente los reglamentos, las circulares y comunicaciones que emitan la Gerencia, y las emitidas por el Oficial de Cumplimiento.</w:t>
      </w:r>
    </w:p>
    <w:p w14:paraId="4BD23B77">
      <w:pPr>
        <w:rPr>
          <w:rFonts w:ascii="Century Gothic" w:hAnsi="Century Gothic" w:cs="Arial"/>
          <w:sz w:val="22"/>
          <w:szCs w:val="22"/>
        </w:rPr>
      </w:pPr>
    </w:p>
    <w:p w14:paraId="71A59A98">
      <w:pPr>
        <w:rPr>
          <w:rFonts w:ascii="Century Gothic" w:hAnsi="Century Gothic" w:cs="Arial"/>
          <w:b/>
          <w:sz w:val="22"/>
          <w:szCs w:val="22"/>
        </w:rPr>
      </w:pPr>
    </w:p>
    <w:p w14:paraId="0CCDC0BB">
      <w:pPr>
        <w:rPr>
          <w:rFonts w:ascii="Century Gothic" w:hAnsi="Century Gothic" w:cs="Arial"/>
          <w:b/>
          <w:sz w:val="22"/>
          <w:szCs w:val="22"/>
        </w:rPr>
      </w:pPr>
    </w:p>
    <w:p w14:paraId="4C676CF9">
      <w:pPr>
        <w:rPr>
          <w:rFonts w:ascii="Century Gothic" w:hAnsi="Century Gothic" w:cs="Arial"/>
          <w:b/>
          <w:sz w:val="22"/>
          <w:szCs w:val="22"/>
        </w:rPr>
      </w:pPr>
    </w:p>
    <w:p w14:paraId="36CC5849">
      <w:pPr>
        <w:rPr>
          <w:rFonts w:ascii="Century Gothic" w:hAnsi="Century Gothic" w:cs="Arial"/>
          <w:b/>
          <w:sz w:val="22"/>
          <w:szCs w:val="22"/>
        </w:rPr>
      </w:pPr>
    </w:p>
    <w:p w14:paraId="5863BB77">
      <w:pPr>
        <w:rPr>
          <w:rFonts w:ascii="Century Gothic" w:hAnsi="Century Gothic" w:cs="Arial"/>
          <w:b/>
          <w:sz w:val="22"/>
          <w:szCs w:val="22"/>
        </w:rPr>
      </w:pPr>
    </w:p>
    <w:p w14:paraId="051BA0FF">
      <w:pPr>
        <w:rPr>
          <w:rFonts w:ascii="Century Gothic" w:hAnsi="Century Gothic" w:cs="Arial"/>
          <w:b/>
          <w:sz w:val="22"/>
          <w:szCs w:val="22"/>
        </w:rPr>
      </w:pPr>
    </w:p>
    <w:p w14:paraId="0FFC052C">
      <w:pPr>
        <w:rPr>
          <w:rFonts w:ascii="Century Gothic" w:hAnsi="Century Gothic" w:cs="Arial"/>
          <w:b/>
          <w:sz w:val="22"/>
          <w:szCs w:val="22"/>
        </w:rPr>
      </w:pPr>
    </w:p>
    <w:p w14:paraId="525F14BE">
      <w:pPr>
        <w:rPr>
          <w:rFonts w:ascii="Century Gothic" w:hAnsi="Century Gothic" w:cs="Arial"/>
          <w:b/>
          <w:sz w:val="22"/>
          <w:szCs w:val="22"/>
        </w:rPr>
      </w:pPr>
    </w:p>
    <w:p w14:paraId="24AB99DD">
      <w:pPr>
        <w:rPr>
          <w:rFonts w:ascii="Century Gothic" w:hAnsi="Century Gothic" w:cs="Arial"/>
          <w:b/>
          <w:sz w:val="22"/>
          <w:szCs w:val="22"/>
        </w:rPr>
      </w:pPr>
    </w:p>
    <w:p w14:paraId="663A68C8">
      <w:pPr>
        <w:rPr>
          <w:rFonts w:ascii="Century Gothic" w:hAnsi="Century Gothic" w:cs="Arial"/>
          <w:b/>
          <w:sz w:val="22"/>
          <w:szCs w:val="22"/>
        </w:rPr>
      </w:pPr>
    </w:p>
    <w:p w14:paraId="69D2B505">
      <w:pPr>
        <w:rPr>
          <w:rFonts w:ascii="Century Gothic" w:hAnsi="Century Gothic" w:cs="Arial"/>
          <w:b/>
          <w:sz w:val="22"/>
          <w:szCs w:val="22"/>
        </w:rPr>
      </w:pPr>
    </w:p>
    <w:p w14:paraId="53775E07">
      <w:pPr>
        <w:rPr>
          <w:rFonts w:ascii="Century Gothic" w:hAnsi="Century Gothic" w:cs="Arial"/>
          <w:b/>
          <w:sz w:val="22"/>
          <w:szCs w:val="22"/>
        </w:rPr>
      </w:pPr>
    </w:p>
    <w:p w14:paraId="255F0AE3">
      <w:pPr>
        <w:rPr>
          <w:rFonts w:ascii="Century Gothic" w:hAnsi="Century Gothic" w:cs="Arial"/>
          <w:b/>
          <w:sz w:val="22"/>
          <w:szCs w:val="22"/>
        </w:rPr>
      </w:pPr>
    </w:p>
    <w:p w14:paraId="4A315FDC">
      <w:pPr>
        <w:rPr>
          <w:rFonts w:ascii="Century Gothic" w:hAnsi="Century Gothic" w:cs="Arial"/>
          <w:b/>
          <w:sz w:val="22"/>
          <w:szCs w:val="22"/>
        </w:rPr>
      </w:pPr>
    </w:p>
    <w:p w14:paraId="336B9705">
      <w:pPr>
        <w:rPr>
          <w:rFonts w:ascii="Century Gothic" w:hAnsi="Century Gothic" w:cs="Arial"/>
          <w:b/>
          <w:sz w:val="22"/>
          <w:szCs w:val="22"/>
        </w:rPr>
      </w:pPr>
    </w:p>
    <w:p w14:paraId="195ADEDE">
      <w:pPr>
        <w:rPr>
          <w:rFonts w:ascii="Century Gothic" w:hAnsi="Century Gothic" w:cs="Arial"/>
          <w:b/>
          <w:sz w:val="22"/>
          <w:szCs w:val="22"/>
        </w:rPr>
      </w:pPr>
    </w:p>
    <w:p w14:paraId="286CEC6E">
      <w:pPr>
        <w:pStyle w:val="65"/>
        <w:numPr>
          <w:ilvl w:val="0"/>
          <w:numId w:val="8"/>
        </w:numPr>
        <w:jc w:val="center"/>
        <w:rPr>
          <w:rFonts w:ascii="Century Gothic" w:hAnsi="Century Gothic" w:cs="Arial"/>
          <w:b/>
          <w:sz w:val="22"/>
          <w:szCs w:val="22"/>
        </w:rPr>
      </w:pPr>
      <w:r>
        <w:rPr>
          <w:rFonts w:ascii="Century Gothic" w:hAnsi="Century Gothic" w:cs="Arial"/>
          <w:b/>
          <w:sz w:val="22"/>
          <w:szCs w:val="22"/>
        </w:rPr>
        <w:t>ASPECTOS GENERALES SOBRE LAVADO DE ACTIVOS Y FINANCIACIÓN DEL TERRORISMO</w:t>
      </w:r>
    </w:p>
    <w:p w14:paraId="75B70F66">
      <w:pPr>
        <w:rPr>
          <w:rFonts w:ascii="Century Gothic" w:hAnsi="Century Gothic" w:cs="Arial"/>
          <w:b/>
          <w:sz w:val="22"/>
          <w:szCs w:val="22"/>
          <w:lang w:val="es-ES"/>
        </w:rPr>
      </w:pPr>
    </w:p>
    <w:p w14:paraId="4568C0FA">
      <w:pPr>
        <w:autoSpaceDE w:val="0"/>
        <w:autoSpaceDN w:val="0"/>
        <w:adjustRightInd w:val="0"/>
        <w:rPr>
          <w:rFonts w:ascii="Century Gothic" w:hAnsi="Century Gothic" w:eastAsia="Calibri" w:cs="Arial"/>
          <w:sz w:val="22"/>
          <w:szCs w:val="22"/>
        </w:rPr>
      </w:pPr>
      <w:r>
        <w:rPr>
          <w:rFonts w:ascii="Century Gothic" w:hAnsi="Century Gothic" w:eastAsia="Calibri" w:cs="Arial"/>
          <w:sz w:val="22"/>
          <w:szCs w:val="22"/>
        </w:rPr>
        <w:t>El riesgo de lavado de activos y financiación del terrorismo, se entiende como la posibilidad de pérdida o daño que puede sufrir una entidad  por su propensión a ser utilizada directamente o a través de sus operaciones como instrumento para lavado de activos y/o canalización de recursos hacia la realización de actividades terroristas, o cuando se pretenda el ocultamiento de activos provenientes de dichas actividades</w:t>
      </w:r>
    </w:p>
    <w:p w14:paraId="7AC47CDF">
      <w:pPr>
        <w:rPr>
          <w:rFonts w:ascii="Century Gothic" w:hAnsi="Century Gothic" w:cs="Arial"/>
          <w:b/>
          <w:sz w:val="22"/>
          <w:szCs w:val="22"/>
          <w:lang w:val="es-ES"/>
        </w:rPr>
      </w:pPr>
    </w:p>
    <w:p w14:paraId="6ADBA37A">
      <w:pPr>
        <w:pStyle w:val="65"/>
        <w:numPr>
          <w:ilvl w:val="1"/>
          <w:numId w:val="8"/>
        </w:numPr>
        <w:autoSpaceDE w:val="0"/>
        <w:autoSpaceDN w:val="0"/>
        <w:adjustRightInd w:val="0"/>
        <w:rPr>
          <w:rFonts w:ascii="Century Gothic" w:hAnsi="Century Gothic" w:cs="Arial"/>
          <w:b/>
          <w:sz w:val="22"/>
          <w:szCs w:val="22"/>
        </w:rPr>
      </w:pPr>
      <w:r>
        <w:rPr>
          <w:rFonts w:ascii="Century Gothic" w:hAnsi="Century Gothic" w:cs="Arial"/>
          <w:b/>
          <w:sz w:val="22"/>
          <w:szCs w:val="22"/>
        </w:rPr>
        <w:t>LAVADO DE ACTIVOS</w:t>
      </w:r>
    </w:p>
    <w:p w14:paraId="071B75DC">
      <w:pPr>
        <w:autoSpaceDE w:val="0"/>
        <w:autoSpaceDN w:val="0"/>
        <w:adjustRightInd w:val="0"/>
        <w:rPr>
          <w:rFonts w:ascii="Century Gothic" w:hAnsi="Century Gothic" w:cs="Arial"/>
          <w:b/>
          <w:sz w:val="22"/>
          <w:szCs w:val="22"/>
        </w:rPr>
      </w:pPr>
    </w:p>
    <w:p w14:paraId="43853A2F">
      <w:pPr>
        <w:pStyle w:val="65"/>
        <w:numPr>
          <w:ilvl w:val="0"/>
          <w:numId w:val="12"/>
        </w:numPr>
        <w:autoSpaceDE w:val="0"/>
        <w:autoSpaceDN w:val="0"/>
        <w:adjustRightInd w:val="0"/>
        <w:rPr>
          <w:rFonts w:ascii="Century Gothic" w:hAnsi="Century Gothic" w:cs="Arial"/>
          <w:b/>
          <w:sz w:val="22"/>
          <w:szCs w:val="22"/>
        </w:rPr>
      </w:pPr>
      <w:r>
        <w:rPr>
          <w:rFonts w:ascii="Century Gothic" w:hAnsi="Century Gothic" w:cs="Arial"/>
          <w:b/>
          <w:sz w:val="22"/>
          <w:szCs w:val="22"/>
        </w:rPr>
        <w:t xml:space="preserve"> Definición del lavado de activos</w:t>
      </w:r>
    </w:p>
    <w:p w14:paraId="6915FEEE">
      <w:pPr>
        <w:pStyle w:val="65"/>
        <w:autoSpaceDE w:val="0"/>
        <w:autoSpaceDN w:val="0"/>
        <w:adjustRightInd w:val="0"/>
        <w:ind w:left="720"/>
        <w:rPr>
          <w:rFonts w:ascii="Century Gothic" w:hAnsi="Century Gothic" w:cs="Arial"/>
          <w:sz w:val="22"/>
          <w:szCs w:val="22"/>
        </w:rPr>
      </w:pPr>
    </w:p>
    <w:p w14:paraId="0BE1D2D8">
      <w:pPr>
        <w:autoSpaceDE w:val="0"/>
        <w:autoSpaceDN w:val="0"/>
        <w:adjustRightInd w:val="0"/>
        <w:rPr>
          <w:rFonts w:ascii="Century Gothic" w:hAnsi="Century Gothic" w:cs="SourceSansPro-Light" w:eastAsiaTheme="minorHAnsi"/>
          <w:color w:val="000000"/>
          <w:sz w:val="22"/>
          <w:szCs w:val="22"/>
          <w:lang w:eastAsia="en-US"/>
        </w:rPr>
      </w:pPr>
      <w:r>
        <w:rPr>
          <w:rFonts w:ascii="Century Gothic" w:hAnsi="Century Gothic" w:cs="Arial"/>
          <w:sz w:val="22"/>
          <w:szCs w:val="22"/>
        </w:rPr>
        <w:t>Es</w:t>
      </w:r>
      <w:r>
        <w:rPr>
          <w:rFonts w:ascii="Century Gothic" w:hAnsi="Century Gothic" w:cs="SourceSansPro-Light" w:eastAsiaTheme="minorHAnsi"/>
          <w:color w:val="000000"/>
          <w:sz w:val="22"/>
          <w:szCs w:val="22"/>
          <w:lang w:eastAsia="en-US"/>
        </w:rPr>
        <w:t xml:space="preserve"> la modalidad mediante la cual organizaciones criminales buscan dar apariencia de legalidad a los recursos que obtienen de sus actividades ilícitas, mediante la incorporación de estos en el circuito económico legal. A través de esta actividad, las bandas delincuenciales consiguen hacer uso de estos activos sin poner en peligro su reinversión en nuevas actividades ilícitas o lícitas.</w:t>
      </w:r>
    </w:p>
    <w:p w14:paraId="71626EE6">
      <w:pPr>
        <w:rPr>
          <w:rFonts w:ascii="Century Gothic" w:hAnsi="Century Gothic" w:cs="Arial"/>
          <w:b/>
          <w:sz w:val="22"/>
          <w:szCs w:val="22"/>
        </w:rPr>
      </w:pPr>
    </w:p>
    <w:p w14:paraId="684563DD">
      <w:pPr>
        <w:pStyle w:val="65"/>
        <w:numPr>
          <w:ilvl w:val="0"/>
          <w:numId w:val="13"/>
        </w:numPr>
        <w:rPr>
          <w:rFonts w:ascii="Century Gothic" w:hAnsi="Century Gothic"/>
          <w:sz w:val="22"/>
          <w:szCs w:val="22"/>
        </w:rPr>
      </w:pPr>
      <w:r>
        <w:rPr>
          <w:rFonts w:ascii="Century Gothic" w:hAnsi="Century Gothic"/>
          <w:sz w:val="22"/>
          <w:szCs w:val="22"/>
          <w:u w:val="single"/>
        </w:rPr>
        <w:t>Dar apariencia de legalidad o legalizar recursos mal habidos.</w:t>
      </w:r>
    </w:p>
    <w:p w14:paraId="49150E4B">
      <w:pPr>
        <w:pStyle w:val="65"/>
        <w:ind w:left="360"/>
        <w:rPr>
          <w:rFonts w:ascii="Century Gothic" w:hAnsi="Century Gothic"/>
          <w:sz w:val="22"/>
          <w:szCs w:val="22"/>
        </w:rPr>
      </w:pPr>
    </w:p>
    <w:p w14:paraId="47D23A7F">
      <w:pPr>
        <w:pStyle w:val="65"/>
        <w:ind w:left="360"/>
        <w:rPr>
          <w:rFonts w:ascii="Century Gothic" w:hAnsi="Century Gothic"/>
          <w:sz w:val="22"/>
          <w:szCs w:val="22"/>
        </w:rPr>
      </w:pPr>
      <w:r>
        <w:rPr>
          <w:rFonts w:ascii="Century Gothic" w:hAnsi="Century Gothic"/>
          <w:sz w:val="22"/>
          <w:szCs w:val="22"/>
        </w:rPr>
        <w:t>Busca justificar su riqueza para poder alcanzar un status, una respetabilidad social, y para poder utilizar su fortuna ilícita burlando la acción de las autoridades policivas y judiciales.</w:t>
      </w:r>
    </w:p>
    <w:p w14:paraId="671AFF83">
      <w:pPr>
        <w:rPr>
          <w:rFonts w:ascii="Century Gothic" w:hAnsi="Century Gothic"/>
          <w:sz w:val="22"/>
          <w:szCs w:val="22"/>
        </w:rPr>
      </w:pPr>
    </w:p>
    <w:p w14:paraId="11C93B94">
      <w:pPr>
        <w:pStyle w:val="65"/>
        <w:numPr>
          <w:ilvl w:val="0"/>
          <w:numId w:val="13"/>
        </w:numPr>
        <w:rPr>
          <w:rFonts w:ascii="Century Gothic" w:hAnsi="Century Gothic"/>
          <w:sz w:val="22"/>
          <w:szCs w:val="22"/>
        </w:rPr>
      </w:pPr>
      <w:r>
        <w:rPr>
          <w:rFonts w:ascii="Century Gothic" w:hAnsi="Century Gothic"/>
          <w:sz w:val="22"/>
          <w:szCs w:val="22"/>
          <w:u w:val="single"/>
        </w:rPr>
        <w:t xml:space="preserve">Formar rastros de papeles y transacciones complicadas que confundan el origen ilícito de los recursos. </w:t>
      </w:r>
    </w:p>
    <w:p w14:paraId="6FFF6153">
      <w:pPr>
        <w:pStyle w:val="65"/>
        <w:ind w:left="360"/>
        <w:rPr>
          <w:rFonts w:ascii="Century Gothic" w:hAnsi="Century Gothic"/>
          <w:sz w:val="22"/>
          <w:szCs w:val="22"/>
          <w:u w:val="single"/>
        </w:rPr>
      </w:pPr>
    </w:p>
    <w:p w14:paraId="33458EB6">
      <w:pPr>
        <w:pStyle w:val="65"/>
        <w:ind w:left="360"/>
        <w:rPr>
          <w:rFonts w:ascii="Century Gothic" w:hAnsi="Century Gothic"/>
          <w:sz w:val="22"/>
          <w:szCs w:val="22"/>
        </w:rPr>
      </w:pPr>
      <w:r>
        <w:rPr>
          <w:rFonts w:ascii="Century Gothic" w:hAnsi="Century Gothic"/>
          <w:sz w:val="22"/>
          <w:szCs w:val="22"/>
        </w:rPr>
        <w:t>Dejando más huellas falsas para complicar la labor de los investigadores e impedir conectar el dinero blanqueado con la actividad ilícita que lo originó.</w:t>
      </w:r>
    </w:p>
    <w:p w14:paraId="0E80A2C7">
      <w:pPr>
        <w:pStyle w:val="65"/>
        <w:ind w:left="360"/>
        <w:rPr>
          <w:rFonts w:ascii="Century Gothic" w:hAnsi="Century Gothic"/>
          <w:sz w:val="22"/>
          <w:szCs w:val="22"/>
        </w:rPr>
      </w:pPr>
    </w:p>
    <w:p w14:paraId="77F16AC8">
      <w:pPr>
        <w:pStyle w:val="65"/>
        <w:numPr>
          <w:ilvl w:val="0"/>
          <w:numId w:val="13"/>
        </w:numPr>
        <w:rPr>
          <w:rFonts w:ascii="Century Gothic" w:hAnsi="Century Gothic"/>
          <w:sz w:val="22"/>
          <w:szCs w:val="22"/>
        </w:rPr>
      </w:pPr>
      <w:r>
        <w:rPr>
          <w:rFonts w:ascii="Century Gothic" w:hAnsi="Century Gothic"/>
          <w:sz w:val="22"/>
          <w:szCs w:val="22"/>
          <w:u w:val="single"/>
        </w:rPr>
        <w:t>Mezclar dineros ilegales con transacciones financieras legítimas</w:t>
      </w:r>
      <w:r>
        <w:rPr>
          <w:rFonts w:ascii="Century Gothic" w:hAnsi="Century Gothic"/>
          <w:b/>
          <w:sz w:val="22"/>
          <w:szCs w:val="22"/>
        </w:rPr>
        <w:t>.</w:t>
      </w:r>
    </w:p>
    <w:p w14:paraId="039A673B">
      <w:pPr>
        <w:pStyle w:val="65"/>
        <w:ind w:left="360"/>
        <w:rPr>
          <w:rFonts w:ascii="Century Gothic" w:hAnsi="Century Gothic"/>
          <w:sz w:val="22"/>
          <w:szCs w:val="22"/>
        </w:rPr>
      </w:pPr>
    </w:p>
    <w:p w14:paraId="5576FD8D">
      <w:pPr>
        <w:pStyle w:val="65"/>
        <w:ind w:left="360"/>
        <w:rPr>
          <w:rFonts w:ascii="Century Gothic" w:hAnsi="Century Gothic"/>
          <w:sz w:val="22"/>
          <w:szCs w:val="22"/>
        </w:rPr>
      </w:pPr>
      <w:r>
        <w:rPr>
          <w:rFonts w:ascii="Century Gothic" w:hAnsi="Century Gothic"/>
          <w:sz w:val="22"/>
          <w:szCs w:val="22"/>
        </w:rPr>
        <w:t>Mezclar o confundir el dinero sucio con actividades aparentemente lícitas. Argumentar su riqueza en supuestas utilidades cuantiosas de una empresa o actividades de fachada.</w:t>
      </w:r>
    </w:p>
    <w:p w14:paraId="50E9F020">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bookmarkStart w:id="24" w:name="_Toc212431493"/>
    </w:p>
    <w:p w14:paraId="39ADD6AA">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5D1105D5">
      <w:pPr>
        <w:pStyle w:val="65"/>
        <w:numPr>
          <w:ilvl w:val="0"/>
          <w:numId w:val="12"/>
        </w:num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b/>
          <w:bCs/>
          <w:color w:val="000000"/>
          <w:sz w:val="22"/>
          <w:szCs w:val="22"/>
          <w:lang w:eastAsia="en-US"/>
        </w:rPr>
        <w:t xml:space="preserve">Alcance y efectos del lavado de activos </w:t>
      </w:r>
    </w:p>
    <w:p w14:paraId="7119A08E">
      <w:pPr>
        <w:pStyle w:val="65"/>
        <w:autoSpaceDE w:val="0"/>
        <w:autoSpaceDN w:val="0"/>
        <w:adjustRightInd w:val="0"/>
        <w:ind w:left="360"/>
        <w:rPr>
          <w:rFonts w:ascii="Century Gothic" w:hAnsi="Century Gothic" w:cs="Arial" w:eastAsiaTheme="minorHAnsi"/>
          <w:color w:val="000000"/>
          <w:sz w:val="22"/>
          <w:szCs w:val="22"/>
          <w:lang w:eastAsia="en-US"/>
        </w:rPr>
      </w:pPr>
    </w:p>
    <w:p w14:paraId="7F31622A">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El lavado de activos coloca en riesgo legal (de incumplimiento normativo), reputacional (de imagen), operativo (pérdidas por deficiencias), y de contagio (relación con terceros) a la Entidad, con el consecuente efecto económico negativo que ello puede representar para su estabilidad financiera, al ser utilizada para el ocultamiento, manejo, inversión o aprovechamiento, en cualquier forma, de dinero u otros bienes provenientes o destinados a actividades delictivas, o para dar apariencia de legalidad a los mismos. </w:t>
      </w:r>
    </w:p>
    <w:p w14:paraId="248FEBC2">
      <w:pPr>
        <w:autoSpaceDE w:val="0"/>
        <w:autoSpaceDN w:val="0"/>
        <w:adjustRightInd w:val="0"/>
        <w:rPr>
          <w:rFonts w:ascii="Century Gothic" w:hAnsi="Century Gothic" w:cs="Arial" w:eastAsiaTheme="minorHAnsi"/>
          <w:color w:val="000000"/>
          <w:sz w:val="22"/>
          <w:szCs w:val="22"/>
          <w:lang w:eastAsia="en-US"/>
        </w:rPr>
      </w:pPr>
    </w:p>
    <w:p w14:paraId="405426C0">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Además, los empleados que intervienen en el lavado, por acción u omisión en sus deberes, pueden verse comprometidos en forma personal y patrimonial, como partícipe</w:t>
      </w:r>
      <w:r>
        <w:rPr>
          <w:rFonts w:ascii="Century Gothic" w:hAnsi="Century Gothic" w:cs="Arial" w:eastAsiaTheme="minorHAnsi"/>
          <w:i/>
          <w:color w:val="000000"/>
          <w:sz w:val="22"/>
          <w:szCs w:val="22"/>
          <w:lang w:eastAsia="en-US"/>
        </w:rPr>
        <w:t>s</w:t>
      </w:r>
      <w:r>
        <w:rPr>
          <w:rFonts w:ascii="Century Gothic" w:hAnsi="Century Gothic" w:cs="Arial" w:eastAsiaTheme="minorHAnsi"/>
          <w:color w:val="000000"/>
          <w:sz w:val="22"/>
          <w:szCs w:val="22"/>
          <w:lang w:eastAsia="en-US"/>
        </w:rPr>
        <w:t xml:space="preserve"> de un delito o como responsables del daño económico causado a la entidad. </w:t>
      </w:r>
    </w:p>
    <w:p w14:paraId="775F7335">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eastAsiaTheme="minorHAnsi"/>
          <w:color w:val="000000"/>
          <w:sz w:val="22"/>
          <w:szCs w:val="22"/>
          <w:lang w:eastAsia="en-US"/>
        </w:rPr>
      </w:pPr>
    </w:p>
    <w:p w14:paraId="23D3A1D4">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r>
        <w:rPr>
          <w:rFonts w:ascii="Century Gothic" w:hAnsi="Century Gothic" w:cs="Arial" w:eastAsiaTheme="minorHAnsi"/>
          <w:color w:val="000000"/>
          <w:sz w:val="22"/>
          <w:szCs w:val="22"/>
          <w:lang w:eastAsia="en-US"/>
        </w:rPr>
        <w:t>Por ello, las medidas de prevención y control de lavado de activos deben ser aplicados al conocimiento de los clientes y a las operaciones y actividades con los mismos.</w:t>
      </w:r>
    </w:p>
    <w:p w14:paraId="177BB6A1">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001A0A8B">
      <w:pPr>
        <w:pStyle w:val="65"/>
        <w:numPr>
          <w:ilvl w:val="0"/>
          <w:numId w:val="12"/>
        </w:num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b/>
          <w:sz w:val="22"/>
          <w:szCs w:val="22"/>
        </w:rPr>
      </w:pPr>
      <w:r>
        <w:rPr>
          <w:rFonts w:ascii="Century Gothic" w:hAnsi="Century Gothic" w:cs="Arial"/>
          <w:b/>
          <w:sz w:val="22"/>
          <w:szCs w:val="22"/>
        </w:rPr>
        <w:t>Características del Lavado de Activos</w:t>
      </w:r>
      <w:bookmarkEnd w:id="24"/>
    </w:p>
    <w:p w14:paraId="021337FD">
      <w:pPr>
        <w:tabs>
          <w:tab w:val="left" w:pos="0"/>
        </w:tabs>
        <w:ind w:left="284"/>
        <w:rPr>
          <w:rFonts w:ascii="Century Gothic" w:hAnsi="Century Gothic" w:cs="Arial"/>
          <w:sz w:val="22"/>
          <w:szCs w:val="22"/>
          <w:lang w:val="es-ES"/>
        </w:rPr>
      </w:pPr>
    </w:p>
    <w:p w14:paraId="36578EF3">
      <w:pPr>
        <w:pStyle w:val="65"/>
        <w:numPr>
          <w:ilvl w:val="0"/>
          <w:numId w:val="14"/>
        </w:numPr>
        <w:rPr>
          <w:rFonts w:ascii="Century Gothic" w:hAnsi="Century Gothic"/>
          <w:sz w:val="22"/>
          <w:szCs w:val="22"/>
        </w:rPr>
      </w:pPr>
      <w:r>
        <w:rPr>
          <w:rFonts w:ascii="Century Gothic" w:hAnsi="Century Gothic"/>
          <w:sz w:val="22"/>
          <w:szCs w:val="22"/>
          <w:u w:val="single"/>
        </w:rPr>
        <w:t>Es un delito de cuello blanco</w:t>
      </w:r>
      <w:r>
        <w:rPr>
          <w:rFonts w:ascii="Century Gothic" w:hAnsi="Century Gothic"/>
          <w:b/>
          <w:sz w:val="22"/>
          <w:szCs w:val="22"/>
        </w:rPr>
        <w:t xml:space="preserve">.  </w:t>
      </w:r>
    </w:p>
    <w:p w14:paraId="5813BE4E">
      <w:pPr>
        <w:pStyle w:val="65"/>
        <w:ind w:left="360"/>
        <w:rPr>
          <w:rFonts w:ascii="Century Gothic" w:hAnsi="Century Gothic"/>
          <w:sz w:val="22"/>
          <w:szCs w:val="22"/>
          <w:u w:val="single"/>
        </w:rPr>
      </w:pPr>
    </w:p>
    <w:p w14:paraId="08789F8A">
      <w:pPr>
        <w:pStyle w:val="65"/>
        <w:ind w:left="360"/>
        <w:rPr>
          <w:rFonts w:ascii="Century Gothic" w:hAnsi="Century Gothic"/>
          <w:sz w:val="22"/>
          <w:szCs w:val="22"/>
        </w:rPr>
      </w:pPr>
      <w:r>
        <w:rPr>
          <w:rFonts w:ascii="Century Gothic" w:hAnsi="Century Gothic"/>
          <w:sz w:val="22"/>
          <w:szCs w:val="22"/>
        </w:rPr>
        <w:t>El lavado de capitales ilícitos implica operaciones financieras cuantiosas que le dan al lavador una posición económica privilegiada.</w:t>
      </w:r>
    </w:p>
    <w:p w14:paraId="168D2583">
      <w:pPr>
        <w:pStyle w:val="65"/>
        <w:ind w:left="360"/>
        <w:rPr>
          <w:rFonts w:ascii="Century Gothic" w:hAnsi="Century Gothic"/>
          <w:sz w:val="22"/>
          <w:szCs w:val="22"/>
        </w:rPr>
      </w:pPr>
    </w:p>
    <w:p w14:paraId="3FE4C4CB">
      <w:pPr>
        <w:pStyle w:val="65"/>
        <w:numPr>
          <w:ilvl w:val="0"/>
          <w:numId w:val="14"/>
        </w:numPr>
        <w:rPr>
          <w:rFonts w:ascii="Century Gothic" w:hAnsi="Century Gothic"/>
          <w:sz w:val="22"/>
          <w:szCs w:val="22"/>
        </w:rPr>
      </w:pPr>
      <w:r>
        <w:rPr>
          <w:rFonts w:ascii="Century Gothic" w:hAnsi="Century Gothic"/>
          <w:sz w:val="22"/>
          <w:szCs w:val="22"/>
          <w:u w:val="single"/>
        </w:rPr>
        <w:t>Es un conjunto de operaciones complejas</w:t>
      </w:r>
      <w:r>
        <w:rPr>
          <w:rFonts w:ascii="Century Gothic" w:hAnsi="Century Gothic"/>
          <w:b/>
          <w:sz w:val="22"/>
          <w:szCs w:val="22"/>
        </w:rPr>
        <w:t xml:space="preserve">.  </w:t>
      </w:r>
    </w:p>
    <w:p w14:paraId="465E6E0C">
      <w:pPr>
        <w:pStyle w:val="65"/>
        <w:ind w:left="360"/>
        <w:rPr>
          <w:rFonts w:ascii="Century Gothic" w:hAnsi="Century Gothic"/>
          <w:sz w:val="22"/>
          <w:szCs w:val="22"/>
          <w:u w:val="single"/>
        </w:rPr>
      </w:pPr>
    </w:p>
    <w:p w14:paraId="2FB09515">
      <w:pPr>
        <w:pStyle w:val="65"/>
        <w:ind w:left="360"/>
        <w:rPr>
          <w:rFonts w:ascii="Century Gothic" w:hAnsi="Century Gothic"/>
          <w:sz w:val="22"/>
          <w:szCs w:val="22"/>
        </w:rPr>
      </w:pPr>
      <w:r>
        <w:rPr>
          <w:rFonts w:ascii="Century Gothic" w:hAnsi="Century Gothic"/>
          <w:sz w:val="22"/>
          <w:szCs w:val="22"/>
        </w:rPr>
        <w:t xml:space="preserve">Muchas de las operaciones de lavado tienen características, frecuencias o volúmenes que se salen de los parámetros habituales, o se realizan sin un sentido económico; por ejemplo, crean empresas de papel, manejan cuentas en diversas oficinas o entidades, mezclan su dinero sucio con una aparente actividad lícita.  Pero también puede acudirse a una sencilla operación de compra de un bien inmueble. </w:t>
      </w:r>
    </w:p>
    <w:p w14:paraId="24540E7D">
      <w:pPr>
        <w:rPr>
          <w:rFonts w:ascii="Century Gothic" w:hAnsi="Century Gothic"/>
          <w:sz w:val="22"/>
          <w:szCs w:val="22"/>
        </w:rPr>
      </w:pPr>
    </w:p>
    <w:p w14:paraId="47BC8C4E">
      <w:pPr>
        <w:pStyle w:val="65"/>
        <w:numPr>
          <w:ilvl w:val="0"/>
          <w:numId w:val="14"/>
        </w:numPr>
        <w:rPr>
          <w:rFonts w:ascii="Century Gothic" w:hAnsi="Century Gothic"/>
          <w:sz w:val="22"/>
          <w:szCs w:val="22"/>
        </w:rPr>
      </w:pPr>
      <w:r>
        <w:rPr>
          <w:rFonts w:ascii="Century Gothic" w:hAnsi="Century Gothic"/>
          <w:sz w:val="22"/>
          <w:szCs w:val="22"/>
          <w:u w:val="single"/>
        </w:rPr>
        <w:t>Es un fenómeno de dimensiones internacionales</w:t>
      </w:r>
      <w:r>
        <w:rPr>
          <w:rFonts w:ascii="Century Gothic" w:hAnsi="Century Gothic"/>
          <w:b/>
          <w:sz w:val="22"/>
          <w:szCs w:val="22"/>
        </w:rPr>
        <w:t xml:space="preserve">.  </w:t>
      </w:r>
    </w:p>
    <w:p w14:paraId="275F5D56">
      <w:pPr>
        <w:pStyle w:val="65"/>
        <w:ind w:left="360"/>
        <w:rPr>
          <w:rFonts w:ascii="Century Gothic" w:hAnsi="Century Gothic"/>
          <w:sz w:val="22"/>
          <w:szCs w:val="22"/>
        </w:rPr>
      </w:pPr>
    </w:p>
    <w:p w14:paraId="108C6D48">
      <w:pPr>
        <w:pStyle w:val="65"/>
        <w:ind w:left="360"/>
        <w:rPr>
          <w:rFonts w:ascii="Century Gothic" w:hAnsi="Century Gothic"/>
          <w:sz w:val="22"/>
          <w:szCs w:val="22"/>
        </w:rPr>
      </w:pPr>
      <w:r>
        <w:rPr>
          <w:rFonts w:ascii="Century Gothic" w:hAnsi="Century Gothic"/>
          <w:sz w:val="22"/>
          <w:szCs w:val="22"/>
        </w:rPr>
        <w:t>El desarrollo tecnológico de los canales financieros facilita que la delincuencia organizada opere en los ámbitos nacional e internacional.</w:t>
      </w:r>
    </w:p>
    <w:p w14:paraId="7649301B">
      <w:pPr>
        <w:pStyle w:val="65"/>
        <w:ind w:left="360"/>
        <w:rPr>
          <w:rFonts w:ascii="Century Gothic" w:hAnsi="Century Gothic"/>
          <w:sz w:val="22"/>
          <w:szCs w:val="22"/>
        </w:rPr>
      </w:pPr>
    </w:p>
    <w:p w14:paraId="70C76A8D">
      <w:pPr>
        <w:pStyle w:val="65"/>
        <w:numPr>
          <w:ilvl w:val="0"/>
          <w:numId w:val="14"/>
        </w:numPr>
        <w:rPr>
          <w:rFonts w:ascii="Century Gothic" w:hAnsi="Century Gothic"/>
          <w:sz w:val="22"/>
          <w:szCs w:val="22"/>
        </w:rPr>
      </w:pPr>
      <w:r>
        <w:rPr>
          <w:rFonts w:ascii="Century Gothic" w:hAnsi="Century Gothic"/>
          <w:sz w:val="22"/>
          <w:szCs w:val="22"/>
          <w:u w:val="single"/>
        </w:rPr>
        <w:t>Se sirve de la función económica del sector financiero y de sus avances tecnológicos</w:t>
      </w:r>
      <w:r>
        <w:rPr>
          <w:rFonts w:ascii="Century Gothic" w:hAnsi="Century Gothic"/>
          <w:b/>
          <w:sz w:val="22"/>
          <w:szCs w:val="22"/>
        </w:rPr>
        <w:t xml:space="preserve">. </w:t>
      </w:r>
    </w:p>
    <w:p w14:paraId="2D4F8F0C">
      <w:pPr>
        <w:pStyle w:val="65"/>
        <w:ind w:left="360"/>
        <w:rPr>
          <w:rFonts w:ascii="Century Gothic" w:hAnsi="Century Gothic"/>
          <w:b/>
          <w:sz w:val="22"/>
          <w:szCs w:val="22"/>
        </w:rPr>
      </w:pPr>
    </w:p>
    <w:p w14:paraId="1988B412">
      <w:pPr>
        <w:pStyle w:val="65"/>
        <w:ind w:left="360"/>
        <w:rPr>
          <w:rFonts w:ascii="Century Gothic" w:hAnsi="Century Gothic"/>
          <w:sz w:val="22"/>
          <w:szCs w:val="22"/>
        </w:rPr>
      </w:pPr>
      <w:r>
        <w:rPr>
          <w:rFonts w:ascii="Century Gothic" w:hAnsi="Century Gothic"/>
          <w:sz w:val="22"/>
          <w:szCs w:val="22"/>
        </w:rPr>
        <w:t>El sector financiero canaliza buena parte del flujo de capitales del mundo. El alto volumen y la rapidez con que se hacen las operaciones, ya que los avances tecnológicos facilitan la realización de operaciones financieras a partir de simples asientos contables o registros electrónicos, lo hacen vulnerable.</w:t>
      </w:r>
    </w:p>
    <w:p w14:paraId="2C70C778">
      <w:pPr>
        <w:rPr>
          <w:rFonts w:ascii="Century Gothic" w:hAnsi="Century Gothic"/>
          <w:sz w:val="22"/>
          <w:szCs w:val="22"/>
          <w:lang w:val="es-ES"/>
        </w:rPr>
      </w:pPr>
    </w:p>
    <w:p w14:paraId="7DA11185">
      <w:pPr>
        <w:numPr>
          <w:ilvl w:val="0"/>
          <w:numId w:val="12"/>
        </w:num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ind w:left="0" w:firstLine="0"/>
        <w:rPr>
          <w:rFonts w:ascii="Century Gothic" w:hAnsi="Century Gothic" w:cs="Arial"/>
          <w:b/>
          <w:sz w:val="22"/>
          <w:szCs w:val="22"/>
          <w:lang w:val="es-ES"/>
        </w:rPr>
      </w:pPr>
      <w:r>
        <w:rPr>
          <w:rFonts w:ascii="Century Gothic" w:hAnsi="Century Gothic" w:cs="Arial"/>
          <w:b/>
          <w:sz w:val="22"/>
          <w:szCs w:val="22"/>
          <w:lang w:val="es-ES"/>
        </w:rPr>
        <w:t>Etapas del Lavado de Activos</w:t>
      </w:r>
    </w:p>
    <w:p w14:paraId="272A0DBC">
      <w:pPr>
        <w:rPr>
          <w:rFonts w:ascii="Century Gothic" w:hAnsi="Century Gothic" w:cs="Arial"/>
          <w:sz w:val="22"/>
          <w:szCs w:val="22"/>
          <w:lang w:val="es-ES"/>
        </w:rPr>
      </w:pPr>
    </w:p>
    <w:p w14:paraId="135DA6DD">
      <w:pPr>
        <w:pStyle w:val="87"/>
        <w:spacing w:after="140"/>
        <w:jc w:val="both"/>
        <w:rPr>
          <w:rFonts w:ascii="Century Gothic" w:hAnsi="Century Gothic" w:cs="ITC Franklin Gothic Std Book"/>
          <w:color w:val="000000"/>
          <w:sz w:val="22"/>
          <w:szCs w:val="22"/>
        </w:rPr>
      </w:pPr>
      <w:r>
        <w:rPr>
          <w:rFonts w:ascii="Century Gothic" w:hAnsi="Century Gothic" w:cs="ITC Franklin Gothic Std Book"/>
          <w:color w:val="000000"/>
          <w:sz w:val="22"/>
          <w:szCs w:val="22"/>
        </w:rPr>
        <w:t>El proceso de lavado de activos supone la ejecución de cuatro etapas indepen</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 xml:space="preserve">dientes, las cuales pueden suceder una tras otra, o presentarse simultáneamente: </w:t>
      </w:r>
    </w:p>
    <w:p w14:paraId="0AD71D4B">
      <w:pPr>
        <w:pStyle w:val="86"/>
        <w:spacing w:after="132"/>
        <w:jc w:val="both"/>
        <w:rPr>
          <w:rFonts w:ascii="Century Gothic" w:hAnsi="Century Gothic"/>
          <w:sz w:val="22"/>
          <w:szCs w:val="22"/>
        </w:rPr>
      </w:pPr>
      <w:r>
        <w:rPr>
          <w:rFonts w:ascii="Century Gothic" w:hAnsi="Century Gothic"/>
          <w:sz w:val="22"/>
          <w:szCs w:val="22"/>
          <w:lang w:eastAsia="es-CO"/>
        </w:rPr>
        <mc:AlternateContent>
          <mc:Choice Requires="wpg">
            <w:drawing>
              <wp:anchor distT="0" distB="0" distL="114300" distR="114300" simplePos="0" relativeHeight="251659264" behindDoc="0" locked="0" layoutInCell="1" allowOverlap="1">
                <wp:simplePos x="0" y="0"/>
                <wp:positionH relativeFrom="column">
                  <wp:posOffset>1270</wp:posOffset>
                </wp:positionH>
                <wp:positionV relativeFrom="paragraph">
                  <wp:posOffset>60960</wp:posOffset>
                </wp:positionV>
                <wp:extent cx="5596890" cy="4963795"/>
                <wp:effectExtent l="0" t="0" r="22860" b="27305"/>
                <wp:wrapNone/>
                <wp:docPr id="43" name="Grupo 43"/>
                <wp:cNvGraphicFramePr/>
                <a:graphic xmlns:a="http://schemas.openxmlformats.org/drawingml/2006/main">
                  <a:graphicData uri="http://schemas.microsoft.com/office/word/2010/wordprocessingGroup">
                    <wpg:wgp>
                      <wpg:cNvGrpSpPr/>
                      <wpg:grpSpPr>
                        <a:xfrm>
                          <a:off x="0" y="0"/>
                          <a:ext cx="5596890" cy="4963795"/>
                          <a:chOff x="0" y="0"/>
                          <a:chExt cx="5596822" cy="4963939"/>
                        </a:xfrm>
                      </wpg:grpSpPr>
                      <wps:wsp>
                        <wps:cNvPr id="33" name="Proceso alternativo 33"/>
                        <wps:cNvSpPr/>
                        <wps:spPr>
                          <a:xfrm>
                            <a:off x="1796995" y="0"/>
                            <a:ext cx="3752119" cy="1129977"/>
                          </a:xfrm>
                          <a:prstGeom prst="flowChartAlternateProcess">
                            <a:avLst/>
                          </a:prstGeom>
                        </wps:spPr>
                        <wps:style>
                          <a:lnRef idx="2">
                            <a:schemeClr val="accent2"/>
                          </a:lnRef>
                          <a:fillRef idx="1">
                            <a:schemeClr val="lt1"/>
                          </a:fillRef>
                          <a:effectRef idx="0">
                            <a:schemeClr val="accent2"/>
                          </a:effectRef>
                          <a:fontRef idx="minor">
                            <a:schemeClr val="dk1"/>
                          </a:fontRef>
                        </wps:style>
                        <wps:txbx>
                          <w:txbxContent>
                            <w:p w14:paraId="620A52BB">
                              <w:pPr>
                                <w:rPr>
                                  <w:sz w:val="21"/>
                                  <w:szCs w:val="21"/>
                                </w:rPr>
                              </w:pPr>
                              <w:r>
                                <w:rPr>
                                  <w:rFonts w:ascii="Century Gothic" w:hAnsi="Century Gothic"/>
                                  <w:sz w:val="21"/>
                                  <w:szCs w:val="21"/>
                                </w:rPr>
                                <w:t>Es la realización de cualquiera de las conductas delictivas señala</w:t>
                              </w:r>
                              <w:r>
                                <w:rPr>
                                  <w:rFonts w:ascii="Century Gothic" w:hAnsi="Century Gothic"/>
                                  <w:sz w:val="21"/>
                                  <w:szCs w:val="21"/>
                                </w:rPr>
                                <w:softHyphen/>
                              </w:r>
                              <w:r>
                                <w:rPr>
                                  <w:rFonts w:ascii="Century Gothic" w:hAnsi="Century Gothic"/>
                                  <w:sz w:val="21"/>
                                  <w:szCs w:val="21"/>
                                </w:rPr>
                                <w:t>da en las normas penales vigentes (artículo 323 del código penal colombiano y/o normas internacionales aplicables) de las cuales provienen los bienes, re</w:t>
                              </w:r>
                              <w:r>
                                <w:rPr>
                                  <w:rFonts w:ascii="Century Gothic" w:hAnsi="Century Gothic"/>
                                  <w:sz w:val="21"/>
                                  <w:szCs w:val="21"/>
                                </w:rPr>
                                <w:softHyphen/>
                              </w:r>
                              <w:r>
                                <w:rPr>
                                  <w:rFonts w:ascii="Century Gothic" w:hAnsi="Century Gothic"/>
                                  <w:sz w:val="21"/>
                                  <w:szCs w:val="21"/>
                                </w:rPr>
                                <w:t>cursos o activos ilícitos.</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Flecha derecha 34"/>
                        <wps:cNvSpPr/>
                        <wps:spPr>
                          <a:xfrm>
                            <a:off x="15903" y="222636"/>
                            <a:ext cx="1535322" cy="577970"/>
                          </a:xfrm>
                          <a:prstGeom prst="rightArrow">
                            <a:avLst/>
                          </a:prstGeom>
                        </wps:spPr>
                        <wps:style>
                          <a:lnRef idx="1">
                            <a:schemeClr val="accent2"/>
                          </a:lnRef>
                          <a:fillRef idx="3">
                            <a:schemeClr val="accent2"/>
                          </a:fillRef>
                          <a:effectRef idx="2">
                            <a:schemeClr val="accent2"/>
                          </a:effectRef>
                          <a:fontRef idx="minor">
                            <a:schemeClr val="lt1"/>
                          </a:fontRef>
                        </wps:style>
                        <wps:txbx>
                          <w:txbxContent>
                            <w:p w14:paraId="52BBCBD7">
                              <w:pPr>
                                <w:rPr>
                                  <w:sz w:val="20"/>
                                  <w:szCs w:val="20"/>
                                </w:rPr>
                              </w:pPr>
                              <w:r>
                                <w:rPr>
                                  <w:rFonts w:ascii="Century Gothic" w:hAnsi="Century Gothic"/>
                                  <w:b/>
                                  <w:bCs/>
                                  <w:sz w:val="20"/>
                                  <w:szCs w:val="20"/>
                                </w:rPr>
                                <w:t>1. Obtención</w:t>
                              </w:r>
                            </w:p>
                            <w:p w14:paraId="0987D418">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 name="Proceso alternativo 35"/>
                        <wps:cNvSpPr/>
                        <wps:spPr>
                          <a:xfrm>
                            <a:off x="1804946" y="1224501"/>
                            <a:ext cx="3752119" cy="1129977"/>
                          </a:xfrm>
                          <a:prstGeom prst="flowChartAlternateProcess">
                            <a:avLst/>
                          </a:prstGeom>
                        </wps:spPr>
                        <wps:style>
                          <a:lnRef idx="2">
                            <a:schemeClr val="accent2"/>
                          </a:lnRef>
                          <a:fillRef idx="1">
                            <a:schemeClr val="lt1"/>
                          </a:fillRef>
                          <a:effectRef idx="0">
                            <a:schemeClr val="accent2"/>
                          </a:effectRef>
                          <a:fontRef idx="minor">
                            <a:schemeClr val="dk1"/>
                          </a:fontRef>
                        </wps:style>
                        <wps:txbx>
                          <w:txbxContent>
                            <w:p w14:paraId="4CD5A44A">
                              <w:r>
                                <w:rPr>
                                  <w:rFonts w:ascii="Century Gothic" w:hAnsi="Century Gothic"/>
                                  <w:sz w:val="22"/>
                                  <w:szCs w:val="22"/>
                                </w:rPr>
                                <w:t>Es la actividad tendiente a poner los bienes, recursos o activos de procedencia ilícita en la economía formal, especialmente en el sector financie</w:t>
                              </w:r>
                              <w:r>
                                <w:rPr>
                                  <w:rFonts w:ascii="Century Gothic" w:hAnsi="Century Gothic"/>
                                  <w:sz w:val="22"/>
                                  <w:szCs w:val="22"/>
                                </w:rPr>
                                <w:softHyphen/>
                              </w:r>
                              <w:r>
                                <w:rPr>
                                  <w:rFonts w:ascii="Century Gothic" w:hAnsi="Century Gothic"/>
                                  <w:sz w:val="22"/>
                                  <w:szCs w:val="22"/>
                                </w:rPr>
                                <w:t>ro o a través de bienes o servicios en el sector real.</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Flecha derecha 36"/>
                        <wps:cNvSpPr/>
                        <wps:spPr>
                          <a:xfrm>
                            <a:off x="0" y="1399429"/>
                            <a:ext cx="1552683" cy="577970"/>
                          </a:xfrm>
                          <a:prstGeom prst="rightArrow">
                            <a:avLst/>
                          </a:prstGeom>
                        </wps:spPr>
                        <wps:style>
                          <a:lnRef idx="1">
                            <a:schemeClr val="accent2"/>
                          </a:lnRef>
                          <a:fillRef idx="3">
                            <a:schemeClr val="accent2"/>
                          </a:fillRef>
                          <a:effectRef idx="2">
                            <a:schemeClr val="accent2"/>
                          </a:effectRef>
                          <a:fontRef idx="minor">
                            <a:schemeClr val="lt1"/>
                          </a:fontRef>
                        </wps:style>
                        <wps:txbx>
                          <w:txbxContent>
                            <w:p w14:paraId="6AEA97C3">
                              <w:pPr>
                                <w:pStyle w:val="39"/>
                                <w:rPr>
                                  <w:sz w:val="20"/>
                                  <w:szCs w:val="20"/>
                                </w:rPr>
                              </w:pPr>
                              <w:r>
                                <w:rPr>
                                  <w:rFonts w:ascii="Century Gothic" w:hAnsi="Century Gothic"/>
                                  <w:b/>
                                  <w:bCs/>
                                  <w:sz w:val="20"/>
                                  <w:szCs w:val="20"/>
                                </w:rPr>
                                <w:t>2. Colocación</w:t>
                              </w:r>
                            </w:p>
                            <w:p w14:paraId="44CD171D">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7" name="Proceso alternativo 37"/>
                        <wps:cNvSpPr/>
                        <wps:spPr>
                          <a:xfrm>
                            <a:off x="1844703" y="2464904"/>
                            <a:ext cx="3752119" cy="1224951"/>
                          </a:xfrm>
                          <a:prstGeom prst="flowChartAlternateProcess">
                            <a:avLst/>
                          </a:prstGeom>
                        </wps:spPr>
                        <wps:style>
                          <a:lnRef idx="2">
                            <a:schemeClr val="accent2"/>
                          </a:lnRef>
                          <a:fillRef idx="1">
                            <a:schemeClr val="lt1"/>
                          </a:fillRef>
                          <a:effectRef idx="0">
                            <a:schemeClr val="accent2"/>
                          </a:effectRef>
                          <a:fontRef idx="minor">
                            <a:schemeClr val="dk1"/>
                          </a:fontRef>
                        </wps:style>
                        <wps:txbx>
                          <w:txbxContent>
                            <w:p w14:paraId="17215E08">
                              <w:r>
                                <w:rPr>
                                  <w:rFonts w:ascii="Century Gothic" w:hAnsi="Century Gothic"/>
                                  <w:sz w:val="22"/>
                                  <w:szCs w:val="22"/>
                                </w:rPr>
                                <w:t>Es la ejecución de diversas transferencias, compras, ventas, contratos y operaciones, en diferentes formas y sectores, para tratar de ocultar el origen ilícito y dificultar los rastros de su origen, para lo cual se hacen mu</w:t>
                              </w:r>
                              <w:r>
                                <w:rPr>
                                  <w:rFonts w:ascii="Century Gothic" w:hAnsi="Century Gothic"/>
                                  <w:sz w:val="22"/>
                                  <w:szCs w:val="22"/>
                                </w:rPr>
                                <w:softHyphen/>
                              </w:r>
                              <w:r>
                                <w:rPr>
                                  <w:rFonts w:ascii="Century Gothic" w:hAnsi="Century Gothic"/>
                                  <w:sz w:val="22"/>
                                  <w:szCs w:val="22"/>
                                </w:rPr>
                                <w:t>chas y complejas transacciones económicas.</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8" name="Flecha derecha 38"/>
                        <wps:cNvSpPr/>
                        <wps:spPr>
                          <a:xfrm>
                            <a:off x="15903" y="2767054"/>
                            <a:ext cx="1535502" cy="577970"/>
                          </a:xfrm>
                          <a:prstGeom prst="rightArrow">
                            <a:avLst/>
                          </a:prstGeom>
                        </wps:spPr>
                        <wps:style>
                          <a:lnRef idx="1">
                            <a:schemeClr val="accent2"/>
                          </a:lnRef>
                          <a:fillRef idx="3">
                            <a:schemeClr val="accent2"/>
                          </a:fillRef>
                          <a:effectRef idx="2">
                            <a:schemeClr val="accent2"/>
                          </a:effectRef>
                          <a:fontRef idx="minor">
                            <a:schemeClr val="lt1"/>
                          </a:fontRef>
                        </wps:style>
                        <wps:txbx>
                          <w:txbxContent>
                            <w:p w14:paraId="6D7496CE">
                              <w:pPr>
                                <w:rPr>
                                  <w:sz w:val="20"/>
                                  <w:szCs w:val="20"/>
                                </w:rPr>
                              </w:pPr>
                              <w:r>
                                <w:rPr>
                                  <w:rFonts w:ascii="Century Gothic" w:hAnsi="Century Gothic"/>
                                  <w:b/>
                                  <w:bCs/>
                                  <w:sz w:val="20"/>
                                  <w:szCs w:val="20"/>
                                </w:rPr>
                                <w:t>3. Estratificación</w:t>
                              </w:r>
                            </w:p>
                            <w:p w14:paraId="2CCA4E5B">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1" name="Proceso alternativo 41"/>
                        <wps:cNvSpPr/>
                        <wps:spPr>
                          <a:xfrm>
                            <a:off x="1844703" y="3816626"/>
                            <a:ext cx="3751580" cy="1147313"/>
                          </a:xfrm>
                          <a:prstGeom prst="flowChartAlternateProcess">
                            <a:avLst/>
                          </a:prstGeom>
                        </wps:spPr>
                        <wps:style>
                          <a:lnRef idx="2">
                            <a:schemeClr val="accent2"/>
                          </a:lnRef>
                          <a:fillRef idx="1">
                            <a:schemeClr val="lt1"/>
                          </a:fillRef>
                          <a:effectRef idx="0">
                            <a:schemeClr val="accent2"/>
                          </a:effectRef>
                          <a:fontRef idx="minor">
                            <a:schemeClr val="dk1"/>
                          </a:fontRef>
                        </wps:style>
                        <wps:txbx>
                          <w:txbxContent>
                            <w:p w14:paraId="15F7C907">
                              <w:r>
                                <w:rPr>
                                  <w:rFonts w:ascii="Century Gothic" w:hAnsi="Century Gothic"/>
                                  <w:sz w:val="22"/>
                                  <w:szCs w:val="22"/>
                                </w:rPr>
                                <w:t>Es la mezcla de dineros ilícitos con fondos de origen legal para tratar de usar los activos y disfrutar de los bienes o recursos con apariencia de legalidad.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2" name="Flecha derecha 42"/>
                        <wps:cNvSpPr/>
                        <wps:spPr>
                          <a:xfrm>
                            <a:off x="63611" y="4079019"/>
                            <a:ext cx="1483672" cy="577970"/>
                          </a:xfrm>
                          <a:prstGeom prst="rightArrow">
                            <a:avLst/>
                          </a:prstGeom>
                        </wps:spPr>
                        <wps:style>
                          <a:lnRef idx="1">
                            <a:schemeClr val="accent2"/>
                          </a:lnRef>
                          <a:fillRef idx="3">
                            <a:schemeClr val="accent2"/>
                          </a:fillRef>
                          <a:effectRef idx="2">
                            <a:schemeClr val="accent2"/>
                          </a:effectRef>
                          <a:fontRef idx="minor">
                            <a:schemeClr val="lt1"/>
                          </a:fontRef>
                        </wps:style>
                        <wps:txbx>
                          <w:txbxContent>
                            <w:p w14:paraId="2360B5BE">
                              <w:pPr>
                                <w:rPr>
                                  <w:sz w:val="20"/>
                                  <w:szCs w:val="20"/>
                                </w:rPr>
                              </w:pPr>
                              <w:r>
                                <w:rPr>
                                  <w:rFonts w:ascii="Century Gothic" w:hAnsi="Century Gothic"/>
                                  <w:b/>
                                  <w:bCs/>
                                  <w:sz w:val="20"/>
                                  <w:szCs w:val="20"/>
                                </w:rPr>
                                <w:t>4. Integración</w:t>
                              </w:r>
                            </w:p>
                            <w:p w14:paraId="50290CF8">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0.1pt;margin-top:4.8pt;height:390.85pt;width:440.7pt;z-index:251659264;mso-width-relative:page;mso-height-relative:page;" coordsize="5596822,4963939" o:gfxdata="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">
                <o:lock v:ext="edit" aspectratio="f"/>
                <v:shape id="_x0000_s1026" o:spid="_x0000_s1026" o:spt="176" type="#_x0000_t176" style="position:absolute;left:1796995;top:0;height:1129977;width:3752119;v-text-anchor:middle;" fillcolor="#FFFFFF [3201]" filled="t" stroked="t" coordsize="21600,21600" o:gfxdata="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gHYM65AAAA2wAA&#10;AA8AAAAAAAAAAQAgAAAAIgAAAGRycy9kb3ducmV2LnhtbFBLAQIUABQAAAAIAIdO4kAzLwWeOwAA&#10;ADkAAAAQAAAAAAAAAAEAIAAAAAgBAABkcnMvc2hhcGV4bWwueG1sUEsFBgAAAAAGAAYAWwEAALID&#10;AAAAAA==&#10;">
                  <v:fill on="t" focussize="0,0"/>
                  <v:stroke weight="1pt" color="#ED7D31 [3205]" miterlimit="8" joinstyle="miter"/>
                  <v:imagedata o:title=""/>
                  <o:lock v:ext="edit" aspectratio="f"/>
                  <v:textbox>
                    <w:txbxContent>
                      <w:p w14:paraId="620A52BB">
                        <w:pPr>
                          <w:rPr>
                            <w:sz w:val="21"/>
                            <w:szCs w:val="21"/>
                          </w:rPr>
                        </w:pPr>
                        <w:r>
                          <w:rPr>
                            <w:rFonts w:ascii="Century Gothic" w:hAnsi="Century Gothic"/>
                            <w:sz w:val="21"/>
                            <w:szCs w:val="21"/>
                          </w:rPr>
                          <w:t>Es la realización de cualquiera de las conductas delictivas señala</w:t>
                        </w:r>
                        <w:r>
                          <w:rPr>
                            <w:rFonts w:ascii="Century Gothic" w:hAnsi="Century Gothic"/>
                            <w:sz w:val="21"/>
                            <w:szCs w:val="21"/>
                          </w:rPr>
                          <w:softHyphen/>
                        </w:r>
                        <w:r>
                          <w:rPr>
                            <w:rFonts w:ascii="Century Gothic" w:hAnsi="Century Gothic"/>
                            <w:sz w:val="21"/>
                            <w:szCs w:val="21"/>
                          </w:rPr>
                          <w:t>da en las normas penales vigentes (artículo 323 del código penal colombiano y/o normas internacionales aplicables) de las cuales provienen los bienes, re</w:t>
                        </w:r>
                        <w:r>
                          <w:rPr>
                            <w:rFonts w:ascii="Century Gothic" w:hAnsi="Century Gothic"/>
                            <w:sz w:val="21"/>
                            <w:szCs w:val="21"/>
                          </w:rPr>
                          <w:softHyphen/>
                        </w:r>
                        <w:r>
                          <w:rPr>
                            <w:rFonts w:ascii="Century Gothic" w:hAnsi="Century Gothic"/>
                            <w:sz w:val="21"/>
                            <w:szCs w:val="21"/>
                          </w:rPr>
                          <w:t>cursos o activos ilícitos.</w:t>
                        </w:r>
                      </w:p>
                    </w:txbxContent>
                  </v:textbox>
                </v:shape>
                <v:shape id="_x0000_s1026" o:spid="_x0000_s1026" o:spt="13" type="#_x0000_t13" style="position:absolute;left:15903;top:222636;height:577970;width:1535322;v-text-anchor:middle;" fillcolor="#F18C55 [3280]" filled="t" stroked="t" coordsize="21600,21600" o:gfxdata="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BTSq7sAAADb&#10;AAAADwAAAAAAAAABACAAAAAiAAAAZHJzL2Rvd25yZXYueG1sUEsBAhQAFAAAAAgAh07iQDMvBZ47&#10;AAAAOQAAABAAAAAAAAAAAQAgAAAACgEAAGRycy9zaGFwZXhtbC54bWxQSwUGAAAAAAYABgBbAQAA&#10;tAMAAAAA&#10;" adj="17535,5400">
                  <v:fill type="gradient" on="t" color2="#E56B17 [3184]" colors="0f #F18C55;32768f #F67B28;65536f #E56B17" focus="100%" focussize="0,0" rotate="t">
                    <o:fill type="gradientUnscaled" v:ext="backwardCompatible"/>
                  </v:fill>
                  <v:stroke weight="0.5pt" color="#ED7D31 [3205]" miterlimit="8" joinstyle="miter"/>
                  <v:imagedata o:title=""/>
                  <o:lock v:ext="edit" aspectratio="f"/>
                  <v:textbox>
                    <w:txbxContent>
                      <w:p w14:paraId="52BBCBD7">
                        <w:pPr>
                          <w:rPr>
                            <w:sz w:val="20"/>
                            <w:szCs w:val="20"/>
                          </w:rPr>
                        </w:pPr>
                        <w:r>
                          <w:rPr>
                            <w:rFonts w:ascii="Century Gothic" w:hAnsi="Century Gothic"/>
                            <w:b/>
                            <w:bCs/>
                            <w:sz w:val="20"/>
                            <w:szCs w:val="20"/>
                          </w:rPr>
                          <w:t>1. Obtención</w:t>
                        </w:r>
                      </w:p>
                      <w:p w14:paraId="0987D418">
                        <w:pPr>
                          <w:jc w:val="center"/>
                        </w:pPr>
                      </w:p>
                    </w:txbxContent>
                  </v:textbox>
                </v:shape>
                <v:shape id="_x0000_s1026" o:spid="_x0000_s1026" o:spt="176" type="#_x0000_t176" style="position:absolute;left:1804946;top:1224501;height:1129977;width:3752119;v-text-anchor:middle;" fillcolor="#FFFFFF [3201]" filled="t" stroked="t" coordsize="21600,21600" o:gfxdata="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iiXSG5AAAA2wAA&#10;AA8AAAAAAAAAAQAgAAAAIgAAAGRycy9kb3ducmV2LnhtbFBLAQIUABQAAAAIAIdO4kAzLwWeOwAA&#10;ADkAAAAQAAAAAAAAAAEAIAAAAAgBAABkcnMvc2hhcGV4bWwueG1sUEsFBgAAAAAGAAYAWwEAALID&#10;AAAAAA==&#10;">
                  <v:fill on="t" focussize="0,0"/>
                  <v:stroke weight="1pt" color="#ED7D31 [3205]" miterlimit="8" joinstyle="miter"/>
                  <v:imagedata o:title=""/>
                  <o:lock v:ext="edit" aspectratio="f"/>
                  <v:textbox>
                    <w:txbxContent>
                      <w:p w14:paraId="4CD5A44A">
                        <w:r>
                          <w:rPr>
                            <w:rFonts w:ascii="Century Gothic" w:hAnsi="Century Gothic"/>
                            <w:sz w:val="22"/>
                            <w:szCs w:val="22"/>
                          </w:rPr>
                          <w:t>Es la actividad tendiente a poner los bienes, recursos o activos de procedencia ilícita en la economía formal, especialmente en el sector financie</w:t>
                        </w:r>
                        <w:r>
                          <w:rPr>
                            <w:rFonts w:ascii="Century Gothic" w:hAnsi="Century Gothic"/>
                            <w:sz w:val="22"/>
                            <w:szCs w:val="22"/>
                          </w:rPr>
                          <w:softHyphen/>
                        </w:r>
                        <w:r>
                          <w:rPr>
                            <w:rFonts w:ascii="Century Gothic" w:hAnsi="Century Gothic"/>
                            <w:sz w:val="22"/>
                            <w:szCs w:val="22"/>
                          </w:rPr>
                          <w:t>ro o a través de bienes o servicios en el sector real.</w:t>
                        </w:r>
                      </w:p>
                    </w:txbxContent>
                  </v:textbox>
                </v:shape>
                <v:shape id="_x0000_s1026" o:spid="_x0000_s1026" o:spt="13" type="#_x0000_t13" style="position:absolute;left:0;top:1399429;height:577970;width:1552683;v-text-anchor:middle;" fillcolor="#F18C55 [3280]" filled="t" stroked="t" coordsize="21600,21600" o:gfxdata="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0oVtvQAA&#10;ANsAAAAPAAAAAAAAAAEAIAAAACIAAABkcnMvZG93bnJldi54bWxQSwECFAAUAAAACACHTuJAMy8F&#10;njsAAAA5AAAAEAAAAAAAAAABACAAAAAMAQAAZHJzL3NoYXBleG1sLnhtbFBLBQYAAAAABgAGAFsB&#10;AAC2AwAAAAA=&#10;" adj="17580,5400">
                  <v:fill type="gradient" on="t" color2="#E56B17 [3184]" colors="0f #F18C55;32768f #F67B28;65536f #E56B17" focus="100%" focussize="0,0" rotate="t">
                    <o:fill type="gradientUnscaled" v:ext="backwardCompatible"/>
                  </v:fill>
                  <v:stroke weight="0.5pt" color="#ED7D31 [3205]" miterlimit="8" joinstyle="miter"/>
                  <v:imagedata o:title=""/>
                  <o:lock v:ext="edit" aspectratio="f"/>
                  <v:textbox>
                    <w:txbxContent>
                      <w:p w14:paraId="6AEA97C3">
                        <w:pPr>
                          <w:pStyle w:val="39"/>
                          <w:rPr>
                            <w:sz w:val="20"/>
                            <w:szCs w:val="20"/>
                          </w:rPr>
                        </w:pPr>
                        <w:r>
                          <w:rPr>
                            <w:rFonts w:ascii="Century Gothic" w:hAnsi="Century Gothic"/>
                            <w:b/>
                            <w:bCs/>
                            <w:sz w:val="20"/>
                            <w:szCs w:val="20"/>
                          </w:rPr>
                          <w:t>2. Colocación</w:t>
                        </w:r>
                      </w:p>
                      <w:p w14:paraId="44CD171D">
                        <w:pPr>
                          <w:jc w:val="center"/>
                        </w:pPr>
                      </w:p>
                    </w:txbxContent>
                  </v:textbox>
                </v:shape>
                <v:shape id="_x0000_s1026" o:spid="_x0000_s1026" o:spt="176" type="#_x0000_t176" style="position:absolute;left:1844703;top:2464904;height:1224951;width:3752119;v-text-anchor:middle;" fillcolor="#FFFFFF [3201]" filled="t" stroked="t" coordsize="21600,21600" o:gfxdata="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c8Zs25AAAA2wAA&#10;AA8AAAAAAAAAAQAgAAAAIgAAAGRycy9kb3ducmV2LnhtbFBLAQIUABQAAAAIAIdO4kAzLwWeOwAA&#10;ADkAAAAQAAAAAAAAAAEAIAAAAAgBAABkcnMvc2hhcGV4bWwueG1sUEsFBgAAAAAGAAYAWwEAALID&#10;AAAAAA==&#10;">
                  <v:fill on="t" focussize="0,0"/>
                  <v:stroke weight="1pt" color="#ED7D31 [3205]" miterlimit="8" joinstyle="miter"/>
                  <v:imagedata o:title=""/>
                  <o:lock v:ext="edit" aspectratio="f"/>
                  <v:textbox>
                    <w:txbxContent>
                      <w:p w14:paraId="17215E08">
                        <w:r>
                          <w:rPr>
                            <w:rFonts w:ascii="Century Gothic" w:hAnsi="Century Gothic"/>
                            <w:sz w:val="22"/>
                            <w:szCs w:val="22"/>
                          </w:rPr>
                          <w:t>Es la ejecución de diversas transferencias, compras, ventas, contratos y operaciones, en diferentes formas y sectores, para tratar de ocultar el origen ilícito y dificultar los rastros de su origen, para lo cual se hacen mu</w:t>
                        </w:r>
                        <w:r>
                          <w:rPr>
                            <w:rFonts w:ascii="Century Gothic" w:hAnsi="Century Gothic"/>
                            <w:sz w:val="22"/>
                            <w:szCs w:val="22"/>
                          </w:rPr>
                          <w:softHyphen/>
                        </w:r>
                        <w:r>
                          <w:rPr>
                            <w:rFonts w:ascii="Century Gothic" w:hAnsi="Century Gothic"/>
                            <w:sz w:val="22"/>
                            <w:szCs w:val="22"/>
                          </w:rPr>
                          <w:t>chas y complejas transacciones económicas.</w:t>
                        </w:r>
                      </w:p>
                    </w:txbxContent>
                  </v:textbox>
                </v:shape>
                <v:shape id="_x0000_s1026" o:spid="_x0000_s1026" o:spt="13" type="#_x0000_t13" style="position:absolute;left:15903;top:2767054;height:577970;width:1535502;v-text-anchor:middle;" fillcolor="#F18C55 [3280]" filled="t" stroked="t" coordsize="21600,21600" o:gfxdata="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lZ2K62AAAA2wAAAA8A&#10;AAAAAAAAAQAgAAAAIgAAAGRycy9kb3ducmV2LnhtbFBLAQIUABQAAAAIAIdO4kAzLwWeOwAAADkA&#10;AAAQAAAAAAAAAAEAIAAAAAUBAABkcnMvc2hhcGV4bWwueG1sUEsFBgAAAAAGAAYAWwEAAK8DAAAA&#10;AA==&#10;" adj="17535,5400">
                  <v:fill type="gradient" on="t" color2="#E56B17 [3184]" colors="0f #F18C55;32768f #F67B28;65536f #E56B17" focus="100%" focussize="0,0" rotate="t">
                    <o:fill type="gradientUnscaled" v:ext="backwardCompatible"/>
                  </v:fill>
                  <v:stroke weight="0.5pt" color="#ED7D31 [3205]" miterlimit="8" joinstyle="miter"/>
                  <v:imagedata o:title=""/>
                  <o:lock v:ext="edit" aspectratio="f"/>
                  <v:textbox>
                    <w:txbxContent>
                      <w:p w14:paraId="6D7496CE">
                        <w:pPr>
                          <w:rPr>
                            <w:sz w:val="20"/>
                            <w:szCs w:val="20"/>
                          </w:rPr>
                        </w:pPr>
                        <w:r>
                          <w:rPr>
                            <w:rFonts w:ascii="Century Gothic" w:hAnsi="Century Gothic"/>
                            <w:b/>
                            <w:bCs/>
                            <w:sz w:val="20"/>
                            <w:szCs w:val="20"/>
                          </w:rPr>
                          <w:t>3. Estratificación</w:t>
                        </w:r>
                      </w:p>
                      <w:p w14:paraId="2CCA4E5B">
                        <w:pPr>
                          <w:jc w:val="center"/>
                        </w:pPr>
                      </w:p>
                    </w:txbxContent>
                  </v:textbox>
                </v:shape>
                <v:shape id="_x0000_s1026" o:spid="_x0000_s1026" o:spt="176" type="#_x0000_t176" style="position:absolute;left:1844703;top:3816626;height:1147313;width:3751580;v-text-anchor:middle;" fillcolor="#FFFFFF [3201]" filled="t" stroked="t" coordsize="21600,21600" o:gfxdata="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fKF+5AAAA2wAA&#10;AA8AAAAAAAAAAQAgAAAAIgAAAGRycy9kb3ducmV2LnhtbFBLAQIUABQAAAAIAIdO4kAzLwWeOwAA&#10;ADkAAAAQAAAAAAAAAAEAIAAAAAgBAABkcnMvc2hhcGV4bWwueG1sUEsFBgAAAAAGAAYAWwEAALID&#10;AAAAAA==&#10;">
                  <v:fill on="t" focussize="0,0"/>
                  <v:stroke weight="1pt" color="#ED7D31 [3205]" miterlimit="8" joinstyle="miter"/>
                  <v:imagedata o:title=""/>
                  <o:lock v:ext="edit" aspectratio="f"/>
                  <v:textbox>
                    <w:txbxContent>
                      <w:p w14:paraId="15F7C907">
                        <w:r>
                          <w:rPr>
                            <w:rFonts w:ascii="Century Gothic" w:hAnsi="Century Gothic"/>
                            <w:sz w:val="22"/>
                            <w:szCs w:val="22"/>
                          </w:rPr>
                          <w:t>Es la mezcla de dineros ilícitos con fondos de origen legal para tratar de usar los activos y disfrutar de los bienes o recursos con apariencia de legalidad.</w:t>
                        </w:r>
                      </w:p>
                    </w:txbxContent>
                  </v:textbox>
                </v:shape>
                <v:shape id="_x0000_s1026" o:spid="_x0000_s1026" o:spt="13" type="#_x0000_t13" style="position:absolute;left:63611;top:4079019;height:577970;width:1483672;v-text-anchor:middle;" fillcolor="#F18C55 [3280]" filled="t" stroked="t" coordsize="21600,21600" o:gfxdata="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gAJWvQAA&#10;ANsAAAAPAAAAAAAAAAEAIAAAACIAAABkcnMvZG93bnJldi54bWxQSwECFAAUAAAACACHTuJAMy8F&#10;njsAAAA5AAAAEAAAAAAAAAABACAAAAAMAQAAZHJzL3NoYXBleG1sLnhtbFBLBQYAAAAABgAGAFsB&#10;AAC2AwAAAAA=&#10;" adj="17393,5400">
                  <v:fill type="gradient" on="t" color2="#E56B17 [3184]" colors="0f #F18C55;32768f #F67B28;65536f #E56B17" focus="100%" focussize="0,0" rotate="t">
                    <o:fill type="gradientUnscaled" v:ext="backwardCompatible"/>
                  </v:fill>
                  <v:stroke weight="0.5pt" color="#ED7D31 [3205]" miterlimit="8" joinstyle="miter"/>
                  <v:imagedata o:title=""/>
                  <o:lock v:ext="edit" aspectratio="f"/>
                  <v:textbox>
                    <w:txbxContent>
                      <w:p w14:paraId="2360B5BE">
                        <w:pPr>
                          <w:rPr>
                            <w:sz w:val="20"/>
                            <w:szCs w:val="20"/>
                          </w:rPr>
                        </w:pPr>
                        <w:r>
                          <w:rPr>
                            <w:rFonts w:ascii="Century Gothic" w:hAnsi="Century Gothic"/>
                            <w:b/>
                            <w:bCs/>
                            <w:sz w:val="20"/>
                            <w:szCs w:val="20"/>
                          </w:rPr>
                          <w:t>4. Integración</w:t>
                        </w:r>
                      </w:p>
                      <w:p w14:paraId="50290CF8">
                        <w:pPr>
                          <w:jc w:val="center"/>
                        </w:pPr>
                      </w:p>
                    </w:txbxContent>
                  </v:textbox>
                </v:shape>
              </v:group>
            </w:pict>
          </mc:Fallback>
        </mc:AlternateContent>
      </w:r>
    </w:p>
    <w:p w14:paraId="798B71C7">
      <w:pPr>
        <w:pStyle w:val="86"/>
        <w:spacing w:after="132"/>
        <w:jc w:val="both"/>
        <w:rPr>
          <w:rFonts w:ascii="Century Gothic" w:hAnsi="Century Gothic"/>
          <w:sz w:val="22"/>
          <w:szCs w:val="22"/>
        </w:rPr>
      </w:pPr>
    </w:p>
    <w:p w14:paraId="7598CD96">
      <w:pPr>
        <w:pStyle w:val="86"/>
        <w:spacing w:after="132"/>
        <w:jc w:val="both"/>
        <w:rPr>
          <w:rFonts w:ascii="Century Gothic" w:hAnsi="Century Gothic"/>
          <w:sz w:val="22"/>
          <w:szCs w:val="22"/>
        </w:rPr>
      </w:pPr>
    </w:p>
    <w:p w14:paraId="0213DBB9">
      <w:pPr>
        <w:pStyle w:val="86"/>
        <w:spacing w:after="132"/>
        <w:jc w:val="both"/>
        <w:rPr>
          <w:rFonts w:ascii="Century Gothic" w:hAnsi="Century Gothic"/>
          <w:sz w:val="22"/>
          <w:szCs w:val="22"/>
        </w:rPr>
      </w:pPr>
    </w:p>
    <w:p w14:paraId="4EE0EECB">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bookmarkStart w:id="25" w:name="_Toc212431495"/>
    </w:p>
    <w:p w14:paraId="2635D07F">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798C4E15">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169C7371">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0B057A9D">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6C3D943A">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116C61F2">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05F6318C">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50D776EA">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74F9CB8B">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2E0279D9">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30095878">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7193B6E0">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4ADBB3EC">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69924B02">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2C54899C">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422FDF24">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41904E21">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581230F6">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4CED3990">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43C62E3E">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24E8CDB4">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12282951">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29C5C15F">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443BD243">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45FE3DEA">
      <w:pPr>
        <w:pStyle w:val="65"/>
        <w:numPr>
          <w:ilvl w:val="0"/>
          <w:numId w:val="12"/>
        </w:num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eastAsia="Calibri" w:cs="Arial"/>
          <w:b/>
          <w:sz w:val="22"/>
          <w:szCs w:val="22"/>
          <w:lang w:eastAsia="en-US"/>
        </w:rPr>
      </w:pPr>
      <w:r>
        <w:rPr>
          <w:rFonts w:ascii="Century Gothic" w:hAnsi="Century Gothic"/>
          <w:b/>
          <w:sz w:val="22"/>
          <w:szCs w:val="22"/>
        </w:rPr>
        <w:t xml:space="preserve">Efectos </w:t>
      </w:r>
      <w:r>
        <w:rPr>
          <w:rFonts w:ascii="Century Gothic" w:hAnsi="Century Gothic" w:eastAsia="Calibri" w:cs="Arial"/>
          <w:b/>
          <w:sz w:val="22"/>
          <w:szCs w:val="22"/>
          <w:lang w:eastAsia="en-US"/>
        </w:rPr>
        <w:t>Negativos del Blanqueo de Activos en un País</w:t>
      </w:r>
      <w:bookmarkEnd w:id="25"/>
    </w:p>
    <w:p w14:paraId="459A1139">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eastAsia="Calibri" w:cs="Arial"/>
          <w:b/>
          <w:sz w:val="22"/>
          <w:szCs w:val="22"/>
          <w:lang w:val="es-ES" w:eastAsia="en-US"/>
        </w:rPr>
      </w:pPr>
    </w:p>
    <w:p w14:paraId="4293A20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r>
        <w:rPr>
          <w:rFonts w:ascii="Century Gothic" w:hAnsi="Century Gothic" w:cs="Arial"/>
          <w:sz w:val="22"/>
          <w:szCs w:val="22"/>
          <w:lang w:val="es-ES"/>
        </w:rPr>
        <w:t>Una actitud displicente frente al blanqueo de activos puede llegar a generar múltiples problemas al país, a las entidades sin ánimo de lucro y a todos los que trabajamos en el sector solidario.</w:t>
      </w:r>
    </w:p>
    <w:p w14:paraId="34BBDD1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261D2FB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r>
        <w:rPr>
          <w:rFonts w:ascii="Century Gothic" w:hAnsi="Century Gothic" w:cs="Arial"/>
          <w:sz w:val="22"/>
          <w:szCs w:val="22"/>
          <w:lang w:val="es-ES"/>
        </w:rPr>
        <w:t xml:space="preserve">Las consecuencias negativas que le pueden generar los dineros mal habidos son: </w:t>
      </w:r>
    </w:p>
    <w:p w14:paraId="48BD5FF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24168B2D">
      <w:pPr>
        <w:pStyle w:val="65"/>
        <w:numPr>
          <w:ilvl w:val="0"/>
          <w:numId w:val="15"/>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rPr>
      </w:pPr>
      <w:r>
        <w:rPr>
          <w:rFonts w:ascii="Century Gothic" w:hAnsi="Century Gothic" w:cs="Arial"/>
          <w:sz w:val="22"/>
          <w:szCs w:val="22"/>
          <w:u w:val="single"/>
        </w:rPr>
        <w:t>Deterioro de la moral social.</w:t>
      </w:r>
      <w:r>
        <w:rPr>
          <w:rFonts w:ascii="Century Gothic" w:hAnsi="Century Gothic" w:cs="Arial"/>
          <w:sz w:val="22"/>
          <w:szCs w:val="22"/>
        </w:rPr>
        <w:t xml:space="preserve">  Un enriquecimiento rápido genera un relajamiento en las escalas de valores de la sociedad.</w:t>
      </w:r>
    </w:p>
    <w:p w14:paraId="0FE60309">
      <w:pPr>
        <w:tabs>
          <w:tab w:val="left" w:pos="426"/>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ind w:left="426" w:hanging="426"/>
        <w:rPr>
          <w:rFonts w:ascii="Century Gothic" w:hAnsi="Century Gothic" w:cs="Arial"/>
          <w:sz w:val="22"/>
          <w:szCs w:val="22"/>
          <w:lang w:val="es-ES"/>
        </w:rPr>
      </w:pPr>
    </w:p>
    <w:p w14:paraId="060F20E7">
      <w:pPr>
        <w:pStyle w:val="65"/>
        <w:numPr>
          <w:ilvl w:val="0"/>
          <w:numId w:val="15"/>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rPr>
      </w:pPr>
      <w:r>
        <w:rPr>
          <w:rFonts w:ascii="Century Gothic" w:hAnsi="Century Gothic" w:cs="Arial"/>
          <w:sz w:val="22"/>
          <w:szCs w:val="22"/>
          <w:u w:val="single"/>
        </w:rPr>
        <w:t>Acrecienta la corrupción y la violencia.</w:t>
      </w:r>
      <w:r>
        <w:rPr>
          <w:rFonts w:ascii="Century Gothic" w:hAnsi="Century Gothic" w:cs="Arial"/>
          <w:sz w:val="22"/>
          <w:szCs w:val="22"/>
        </w:rPr>
        <w:t xml:space="preserve"> El enriquecimiento rápido, fin último del delincuente, es un factor multiplicador de la violencia y de la corrupción.</w:t>
      </w:r>
    </w:p>
    <w:p w14:paraId="0D6DECFA">
      <w:pPr>
        <w:tabs>
          <w:tab w:val="left" w:pos="426"/>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ind w:left="426" w:hanging="426"/>
        <w:rPr>
          <w:rFonts w:ascii="Century Gothic" w:hAnsi="Century Gothic" w:cs="Arial"/>
          <w:sz w:val="22"/>
          <w:szCs w:val="22"/>
          <w:lang w:val="es-ES"/>
        </w:rPr>
      </w:pPr>
    </w:p>
    <w:p w14:paraId="4D28E8FE">
      <w:pPr>
        <w:pStyle w:val="65"/>
        <w:numPr>
          <w:ilvl w:val="0"/>
          <w:numId w:val="15"/>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rPr>
      </w:pPr>
      <w:r>
        <w:rPr>
          <w:rFonts w:ascii="Century Gothic" w:hAnsi="Century Gothic" w:cs="Arial"/>
          <w:sz w:val="22"/>
          <w:szCs w:val="22"/>
          <w:u w:val="single"/>
        </w:rPr>
        <w:t>Produce efectos sociales dañinos.</w:t>
      </w:r>
      <w:r>
        <w:rPr>
          <w:rFonts w:ascii="Century Gothic" w:hAnsi="Century Gothic" w:cs="Arial"/>
          <w:sz w:val="22"/>
          <w:szCs w:val="22"/>
        </w:rPr>
        <w:t xml:space="preserve"> El reacomodamiento social, a partir de una nueva concentración de la riqueza en manos de delincuentes, genera mayor tensión para el país.</w:t>
      </w:r>
    </w:p>
    <w:p w14:paraId="357F3EA0">
      <w:pPr>
        <w:tabs>
          <w:tab w:val="left" w:pos="426"/>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ind w:left="426" w:hanging="426"/>
        <w:rPr>
          <w:rFonts w:ascii="Century Gothic" w:hAnsi="Century Gothic" w:cs="Arial"/>
          <w:sz w:val="22"/>
          <w:szCs w:val="22"/>
          <w:lang w:val="es-ES"/>
        </w:rPr>
      </w:pPr>
    </w:p>
    <w:p w14:paraId="6D925E9B">
      <w:pPr>
        <w:pStyle w:val="65"/>
        <w:numPr>
          <w:ilvl w:val="0"/>
          <w:numId w:val="15"/>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rPr>
      </w:pPr>
      <w:r>
        <w:rPr>
          <w:rFonts w:ascii="Century Gothic" w:hAnsi="Century Gothic" w:cs="Arial"/>
          <w:sz w:val="22"/>
          <w:szCs w:val="22"/>
          <w:u w:val="single"/>
        </w:rPr>
        <w:t>Genera efectos inflacionarios.</w:t>
      </w:r>
      <w:r>
        <w:rPr>
          <w:rFonts w:ascii="Century Gothic" w:hAnsi="Century Gothic" w:cs="Arial"/>
          <w:sz w:val="22"/>
          <w:szCs w:val="22"/>
        </w:rPr>
        <w:t xml:space="preserve"> Los recursos ilícitos generan incremento generalizado del nivel de precios de los bienes y servicios, aumentando el costo de vida de los colombianos.</w:t>
      </w:r>
    </w:p>
    <w:p w14:paraId="23446263">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117F3008">
      <w:pPr>
        <w:pStyle w:val="65"/>
        <w:numPr>
          <w:ilvl w:val="0"/>
          <w:numId w:val="15"/>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rPr>
      </w:pPr>
      <w:r>
        <w:rPr>
          <w:rFonts w:ascii="Century Gothic" w:hAnsi="Century Gothic" w:cs="Arial"/>
          <w:sz w:val="22"/>
          <w:szCs w:val="22"/>
          <w:u w:val="single"/>
        </w:rPr>
        <w:t>Quiebra la economía formal.</w:t>
      </w:r>
      <w:r>
        <w:rPr>
          <w:rFonts w:ascii="Century Gothic" w:hAnsi="Century Gothic" w:cs="Arial"/>
          <w:sz w:val="22"/>
          <w:szCs w:val="22"/>
        </w:rPr>
        <w:t xml:space="preserve">  Los dineros calientes han infiltrado sectores económicos en los que, en condiciones de desigualdad, compiten deslealmente con el industrial o con el comerciante honrado.</w:t>
      </w:r>
    </w:p>
    <w:p w14:paraId="576261FF">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ind w:firstLine="60"/>
        <w:rPr>
          <w:rFonts w:ascii="Century Gothic" w:hAnsi="Century Gothic" w:cs="Arial"/>
          <w:sz w:val="22"/>
          <w:szCs w:val="22"/>
          <w:lang w:val="es-ES"/>
        </w:rPr>
      </w:pPr>
    </w:p>
    <w:p w14:paraId="74564B3A">
      <w:pPr>
        <w:pStyle w:val="65"/>
        <w:numPr>
          <w:ilvl w:val="0"/>
          <w:numId w:val="15"/>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rPr>
      </w:pPr>
      <w:r>
        <w:rPr>
          <w:rFonts w:ascii="Century Gothic" w:hAnsi="Century Gothic" w:cs="Arial"/>
          <w:sz w:val="22"/>
          <w:szCs w:val="22"/>
          <w:u w:val="single"/>
        </w:rPr>
        <w:t>Empaña la imagen internacional del país.</w:t>
      </w:r>
      <w:r>
        <w:rPr>
          <w:rFonts w:ascii="Century Gothic" w:hAnsi="Century Gothic" w:cs="Arial"/>
          <w:sz w:val="22"/>
          <w:szCs w:val="22"/>
        </w:rPr>
        <w:t xml:space="preserve">  Es nocivo para el país el ser señalado como un Estado cuya economía se fortalece por los ingresos fruto de la actividad ilegal.</w:t>
      </w:r>
    </w:p>
    <w:p w14:paraId="2D90D6E0">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28900AF2">
      <w:pPr>
        <w:pStyle w:val="65"/>
        <w:numPr>
          <w:ilvl w:val="0"/>
          <w:numId w:val="15"/>
        </w:numPr>
        <w:rPr>
          <w:rFonts w:ascii="Century Gothic" w:hAnsi="Century Gothic" w:cs="Arial"/>
          <w:sz w:val="22"/>
          <w:szCs w:val="22"/>
        </w:rPr>
      </w:pPr>
      <w:r>
        <w:rPr>
          <w:rFonts w:ascii="Century Gothic" w:hAnsi="Century Gothic" w:cs="Arial"/>
          <w:sz w:val="22"/>
          <w:szCs w:val="22"/>
          <w:u w:val="single"/>
        </w:rPr>
        <w:t xml:space="preserve">Afectación de la Gobernabilidad. </w:t>
      </w:r>
      <w:r>
        <w:rPr>
          <w:rFonts w:ascii="Century Gothic" w:hAnsi="Century Gothic" w:cs="Arial"/>
          <w:sz w:val="22"/>
          <w:szCs w:val="22"/>
        </w:rPr>
        <w:t xml:space="preserve">Cuando existen problemas en el interior del Estado como lo que vive actualmente Colombia, se presenta la pérdida de confianza por la sociedad y se originan problemas sociales, económicos, políticos etc.  </w:t>
      </w:r>
    </w:p>
    <w:p w14:paraId="3900A8E7">
      <w:pPr>
        <w:rPr>
          <w:rFonts w:ascii="Century Gothic" w:hAnsi="Century Gothic" w:cs="Arial"/>
          <w:sz w:val="22"/>
          <w:szCs w:val="22"/>
        </w:rPr>
      </w:pPr>
    </w:p>
    <w:p w14:paraId="695C683A">
      <w:pPr>
        <w:pStyle w:val="65"/>
        <w:numPr>
          <w:ilvl w:val="0"/>
          <w:numId w:val="12"/>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b/>
          <w:sz w:val="22"/>
          <w:szCs w:val="22"/>
        </w:rPr>
      </w:pPr>
      <w:r>
        <w:rPr>
          <w:rFonts w:ascii="Century Gothic" w:hAnsi="Century Gothic" w:cs="Arial"/>
          <w:b/>
          <w:sz w:val="22"/>
          <w:szCs w:val="22"/>
        </w:rPr>
        <w:t>Además, el lavado de activos genera efectos negativos en el sector financiero:</w:t>
      </w:r>
    </w:p>
    <w:p w14:paraId="19176FC2">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33273487">
      <w:pPr>
        <w:pStyle w:val="65"/>
        <w:numPr>
          <w:ilvl w:val="0"/>
          <w:numId w:val="16"/>
        </w:numPr>
        <w:tabs>
          <w:tab w:val="left" w:pos="0"/>
        </w:tabs>
        <w:rPr>
          <w:rFonts w:ascii="Century Gothic" w:hAnsi="Century Gothic" w:cs="Arial"/>
          <w:sz w:val="22"/>
          <w:szCs w:val="22"/>
        </w:rPr>
      </w:pPr>
      <w:r>
        <w:rPr>
          <w:rFonts w:ascii="Century Gothic" w:hAnsi="Century Gothic" w:cs="Arial"/>
          <w:sz w:val="22"/>
          <w:szCs w:val="22"/>
          <w:u w:val="single"/>
        </w:rPr>
        <w:t>Genera desconfianza del público y de los inversionistas al enturbiar su imagen</w:t>
      </w:r>
      <w:r>
        <w:rPr>
          <w:rFonts w:ascii="Century Gothic" w:hAnsi="Century Gothic" w:cs="Arial"/>
          <w:b/>
          <w:sz w:val="22"/>
          <w:szCs w:val="22"/>
        </w:rPr>
        <w:t>.</w:t>
      </w:r>
      <w:r>
        <w:rPr>
          <w:rFonts w:ascii="Century Gothic" w:hAnsi="Century Gothic" w:cs="Arial"/>
          <w:sz w:val="22"/>
          <w:szCs w:val="22"/>
        </w:rPr>
        <w:t xml:space="preserve"> La confianza del público y de los inversionistas es el mayor activo de las entidades que conforman el sistema financiero. Lavar capital ilícito, atenta contra el prestigio, seriedad y transparencia de sus negocios, al tiempo que desatiende los altos estándares y principios éticos que lo deben regir.</w:t>
      </w:r>
    </w:p>
    <w:p w14:paraId="0216EABA">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44378037">
      <w:pPr>
        <w:pStyle w:val="65"/>
        <w:numPr>
          <w:ilvl w:val="0"/>
          <w:numId w:val="16"/>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rPr>
      </w:pPr>
      <w:r>
        <w:rPr>
          <w:rFonts w:ascii="Century Gothic" w:hAnsi="Century Gothic" w:cs="Arial"/>
          <w:sz w:val="22"/>
          <w:szCs w:val="22"/>
          <w:u w:val="single"/>
        </w:rPr>
        <w:t>Aumenta el riesgo crediticio y los fraudes</w:t>
      </w:r>
      <w:r>
        <w:rPr>
          <w:rFonts w:ascii="Century Gothic" w:hAnsi="Century Gothic" w:cs="Arial"/>
          <w:b/>
          <w:sz w:val="22"/>
          <w:szCs w:val="22"/>
        </w:rPr>
        <w:t xml:space="preserve">. </w:t>
      </w:r>
      <w:r>
        <w:rPr>
          <w:rFonts w:ascii="Century Gothic" w:hAnsi="Century Gothic" w:cs="Arial"/>
          <w:sz w:val="22"/>
          <w:szCs w:val="22"/>
        </w:rPr>
        <w:t xml:space="preserve"> Las entidades financieras deben abstenerse de hacer negocios con clientes moralmente cuestionados, pues de lo contrario aumentaría los riesgos de defraudación y pérdida de cartera.</w:t>
      </w:r>
    </w:p>
    <w:p w14:paraId="203EA2FD">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1DFF88B2">
      <w:pPr>
        <w:pStyle w:val="65"/>
        <w:numPr>
          <w:ilvl w:val="0"/>
          <w:numId w:val="16"/>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rPr>
      </w:pPr>
      <w:r>
        <w:rPr>
          <w:rFonts w:ascii="Century Gothic" w:hAnsi="Century Gothic" w:cs="Arial"/>
          <w:sz w:val="22"/>
          <w:szCs w:val="22"/>
          <w:u w:val="single"/>
        </w:rPr>
        <w:t>Multas y sanciones administrativas</w:t>
      </w:r>
      <w:r>
        <w:rPr>
          <w:rFonts w:ascii="Century Gothic" w:hAnsi="Century Gothic" w:cs="Arial"/>
          <w:b/>
          <w:sz w:val="22"/>
          <w:szCs w:val="22"/>
        </w:rPr>
        <w:t xml:space="preserve">. </w:t>
      </w:r>
      <w:r>
        <w:rPr>
          <w:rFonts w:ascii="Century Gothic" w:hAnsi="Century Gothic" w:cs="Arial"/>
          <w:sz w:val="22"/>
          <w:szCs w:val="22"/>
        </w:rPr>
        <w:t xml:space="preserve"> Las sanciones impuestas por fallas en la aplicación de los controles contra el lavado de activos trascienden lo económico, ya que generan publicidad negativa, pérdida de confianza, gastos en honorarios y enfrentamiento con las autoridades. Las multas para las entidades pueden llegar a mil doscientos ochenta (1.280) salarios mínimos legales mensuales vigentes (S.M.L.M.V),  adicionales a las medidas correctivas a que haya lugar; y para los empleados que resulten involucrados en estos hechos, hasta por sesenta y cuatro (64) salarios mínimos legales mensuales vigentes (S.M.L.M.V).</w:t>
      </w:r>
    </w:p>
    <w:p w14:paraId="6F2BE4C3">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01F3ED5A">
      <w:pPr>
        <w:pStyle w:val="65"/>
        <w:numPr>
          <w:ilvl w:val="0"/>
          <w:numId w:val="16"/>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rPr>
      </w:pPr>
      <w:r>
        <w:rPr>
          <w:rFonts w:ascii="Century Gothic" w:hAnsi="Century Gothic" w:cs="Arial"/>
          <w:sz w:val="22"/>
          <w:szCs w:val="22"/>
          <w:u w:val="single"/>
        </w:rPr>
        <w:t>Bloqueo y sanciones internacionales</w:t>
      </w:r>
      <w:r>
        <w:rPr>
          <w:rFonts w:ascii="Century Gothic" w:hAnsi="Century Gothic" w:cs="Arial"/>
          <w:b/>
          <w:sz w:val="22"/>
          <w:szCs w:val="22"/>
        </w:rPr>
        <w:t>.</w:t>
      </w:r>
      <w:r>
        <w:rPr>
          <w:rFonts w:ascii="Century Gothic" w:hAnsi="Century Gothic" w:cs="Arial"/>
          <w:sz w:val="22"/>
          <w:szCs w:val="22"/>
        </w:rPr>
        <w:t xml:space="preserve">  Existe la amenaza real del bloqueo comercial para las instituciones que prestan sus servicios financieros a personas vinculadas con actividades ilícitas.</w:t>
      </w:r>
    </w:p>
    <w:p w14:paraId="05E54760">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47EFF1C3">
      <w:pPr>
        <w:pStyle w:val="65"/>
        <w:numPr>
          <w:ilvl w:val="0"/>
          <w:numId w:val="16"/>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rPr>
      </w:pPr>
      <w:r>
        <w:rPr>
          <w:rFonts w:ascii="Century Gothic" w:hAnsi="Century Gothic" w:cs="Arial"/>
          <w:sz w:val="22"/>
          <w:szCs w:val="22"/>
          <w:u w:val="single"/>
        </w:rPr>
        <w:t>Cierre de establecimiento.</w:t>
      </w:r>
      <w:r>
        <w:rPr>
          <w:rFonts w:ascii="Century Gothic" w:hAnsi="Century Gothic" w:cs="Arial"/>
          <w:sz w:val="22"/>
          <w:szCs w:val="22"/>
        </w:rPr>
        <w:t xml:space="preserve">  La Ley 365 de 1997 (art. 2) prevé la posibilidad de liquidar las entidades que no adopten los mecanismos de control apropiados para enfrentar el lavado de dinero.</w:t>
      </w:r>
    </w:p>
    <w:p w14:paraId="5B1AA60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p w14:paraId="2860A0E1">
      <w:pPr>
        <w:pStyle w:val="65"/>
        <w:numPr>
          <w:ilvl w:val="0"/>
          <w:numId w:val="12"/>
        </w:num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eastAsia="Calibri" w:cs="Arial"/>
          <w:b/>
          <w:sz w:val="22"/>
          <w:szCs w:val="22"/>
          <w:lang w:eastAsia="en-US"/>
        </w:rPr>
      </w:pPr>
      <w:bookmarkStart w:id="26" w:name="_Toc212431496"/>
      <w:r>
        <w:rPr>
          <w:rFonts w:ascii="Century Gothic" w:hAnsi="Century Gothic" w:eastAsia="Calibri" w:cs="Arial"/>
          <w:b/>
          <w:sz w:val="22"/>
          <w:szCs w:val="22"/>
          <w:lang w:eastAsia="en-US"/>
        </w:rPr>
        <w:t>Métodos utilizados para el Lavado de Activos</w:t>
      </w:r>
      <w:bookmarkEnd w:id="26"/>
    </w:p>
    <w:p w14:paraId="1E08AA03">
      <w:pP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eastAsia="Calibri" w:cs="Arial"/>
          <w:b/>
          <w:sz w:val="22"/>
          <w:szCs w:val="22"/>
          <w:u w:val="single"/>
          <w:lang w:val="es-ES" w:eastAsia="en-US"/>
        </w:rPr>
      </w:pPr>
    </w:p>
    <w:p w14:paraId="4D6EF980">
      <w:pPr>
        <w:pStyle w:val="65"/>
        <w:numPr>
          <w:ilvl w:val="0"/>
          <w:numId w:val="17"/>
        </w:numPr>
        <w:rPr>
          <w:rFonts w:ascii="Century Gothic" w:hAnsi="Century Gothic" w:cs="Arial"/>
          <w:sz w:val="22"/>
          <w:szCs w:val="22"/>
          <w:u w:val="single"/>
        </w:rPr>
      </w:pPr>
      <w:bookmarkStart w:id="27" w:name="_Toc170274727"/>
      <w:bookmarkStart w:id="28" w:name="_Toc149117516"/>
      <w:r>
        <w:rPr>
          <w:rFonts w:ascii="Century Gothic" w:hAnsi="Century Gothic" w:cs="Arial"/>
          <w:sz w:val="22"/>
          <w:szCs w:val="22"/>
          <w:u w:val="single"/>
        </w:rPr>
        <w:t>Pitufeo o Restructuración</w:t>
      </w:r>
      <w:bookmarkEnd w:id="27"/>
      <w:bookmarkEnd w:id="28"/>
    </w:p>
    <w:p w14:paraId="3566771F">
      <w:pPr>
        <w:tabs>
          <w:tab w:val="left" w:pos="0"/>
        </w:tabs>
        <w:rPr>
          <w:rFonts w:ascii="Century Gothic" w:hAnsi="Century Gothic" w:cs="Arial"/>
          <w:sz w:val="22"/>
          <w:szCs w:val="22"/>
          <w:lang w:val="es-ES"/>
        </w:rPr>
      </w:pPr>
    </w:p>
    <w:p w14:paraId="36F4AF03">
      <w:pPr>
        <w:tabs>
          <w:tab w:val="left" w:pos="0"/>
        </w:tabs>
        <w:rPr>
          <w:rFonts w:ascii="Century Gothic" w:hAnsi="Century Gothic" w:cs="Arial"/>
          <w:sz w:val="22"/>
          <w:szCs w:val="22"/>
          <w:lang w:val="es-ES"/>
        </w:rPr>
      </w:pPr>
      <w:r>
        <w:rPr>
          <w:rFonts w:ascii="Century Gothic" w:hAnsi="Century Gothic" w:cs="Arial"/>
          <w:sz w:val="22"/>
          <w:szCs w:val="22"/>
          <w:lang w:val="es-ES"/>
        </w:rPr>
        <w:t xml:space="preserve">Consiste en estructurar muchas operaciones en montos pequeños con el ánimo de evadir los controles de transacciones individuales y consolidadas.  Esto dificulta la posibilidad de establecer alguna relación entre los ejecutores de las transacciones y su verdadero beneficiario.  Existen varias formas de efectuar la estructuración de operaciones a través del Pitufeo, la más conocida y utilizada es la de manejar los denominados pitufos (diferentes personas) para realizar operaciones de consignaciones o cambio de cheques en diferentes cuentas por montos inferiores a los estipulados como susceptibles de control por ley. </w:t>
      </w:r>
    </w:p>
    <w:p w14:paraId="63EADC41">
      <w:pPr>
        <w:tabs>
          <w:tab w:val="left" w:pos="0"/>
        </w:tabs>
        <w:rPr>
          <w:rFonts w:ascii="Century Gothic" w:hAnsi="Century Gothic" w:cs="Arial"/>
          <w:sz w:val="22"/>
          <w:szCs w:val="22"/>
          <w:lang w:val="es-ES"/>
        </w:rPr>
      </w:pPr>
    </w:p>
    <w:p w14:paraId="4410A578">
      <w:pPr>
        <w:pStyle w:val="65"/>
        <w:numPr>
          <w:ilvl w:val="0"/>
          <w:numId w:val="17"/>
        </w:numPr>
        <w:rPr>
          <w:rFonts w:ascii="Century Gothic" w:hAnsi="Century Gothic" w:cs="Arial"/>
          <w:sz w:val="22"/>
          <w:szCs w:val="22"/>
          <w:u w:val="single"/>
        </w:rPr>
      </w:pPr>
      <w:bookmarkStart w:id="29" w:name="_Toc170274728"/>
      <w:bookmarkStart w:id="30" w:name="_Toc149117517"/>
      <w:r>
        <w:rPr>
          <w:rFonts w:ascii="Century Gothic" w:hAnsi="Century Gothic" w:cs="Arial"/>
          <w:sz w:val="22"/>
          <w:szCs w:val="22"/>
          <w:u w:val="single"/>
        </w:rPr>
        <w:t>Ocultar el efectivo en depósitos de un negocio lícito de mucho movimiento en efectivo</w:t>
      </w:r>
      <w:bookmarkEnd w:id="29"/>
      <w:bookmarkEnd w:id="30"/>
    </w:p>
    <w:p w14:paraId="4DA8D019">
      <w:pPr>
        <w:tabs>
          <w:tab w:val="left" w:pos="0"/>
        </w:tabs>
        <w:rPr>
          <w:rFonts w:ascii="Century Gothic" w:hAnsi="Century Gothic" w:cs="Arial"/>
          <w:sz w:val="22"/>
          <w:szCs w:val="22"/>
          <w:lang w:val="es-ES"/>
        </w:rPr>
      </w:pPr>
    </w:p>
    <w:p w14:paraId="3324A8EC">
      <w:pPr>
        <w:rPr>
          <w:rFonts w:ascii="Century Gothic" w:hAnsi="Century Gothic"/>
          <w:sz w:val="22"/>
          <w:szCs w:val="22"/>
          <w:lang w:val="es-ES"/>
        </w:rPr>
      </w:pPr>
      <w:r>
        <w:rPr>
          <w:rFonts w:ascii="Century Gothic" w:hAnsi="Century Gothic"/>
          <w:sz w:val="22"/>
          <w:szCs w:val="22"/>
          <w:lang w:val="es-ES"/>
        </w:rPr>
        <w:t xml:space="preserve">Esto implica la corrupción de un negocio legítimo cuyas ventas se realizan por lo general en efectivo, lo cual para el lavador se constituye en la fachada ideal frente a una institución financiera.  Los negocios más atractivos para este proceso son los restaurantes, bares, supermercados, droguerías, transportadores, etc. </w:t>
      </w:r>
    </w:p>
    <w:p w14:paraId="20713DED">
      <w:pPr>
        <w:rPr>
          <w:rFonts w:ascii="Century Gothic" w:hAnsi="Century Gothic"/>
          <w:sz w:val="22"/>
          <w:szCs w:val="22"/>
          <w:lang w:val="es-ES"/>
        </w:rPr>
      </w:pPr>
      <w:r>
        <w:rPr>
          <w:rFonts w:ascii="Century Gothic" w:hAnsi="Century Gothic"/>
          <w:sz w:val="22"/>
          <w:szCs w:val="22"/>
          <w:lang w:val="es-ES"/>
        </w:rPr>
        <w:t>Un mecanismo mediante el cual se lleva a cabo es obligando a los administradores del negocio a consignar grandes cantidades de dinero en efectivo simulando un incremento en las ventas, lo que para la entidad financiera puede considerarse normal por la naturaleza de la actividad.  Existen diferentes mecanismos como la complicidad de los administradores, el chantaje, secuestro, la compra de negocios por parte del lavador sin importar el volumen de ventas o ingresos, ya que su interés es la fachada del negocio.</w:t>
      </w:r>
    </w:p>
    <w:p w14:paraId="33617EEC">
      <w:pPr>
        <w:tabs>
          <w:tab w:val="left" w:pos="0"/>
        </w:tabs>
        <w:rPr>
          <w:rFonts w:ascii="Century Gothic" w:hAnsi="Century Gothic" w:cs="Arial"/>
          <w:sz w:val="22"/>
          <w:szCs w:val="22"/>
          <w:lang w:val="es-ES"/>
        </w:rPr>
      </w:pPr>
    </w:p>
    <w:p w14:paraId="3E4EE4B3">
      <w:pPr>
        <w:pStyle w:val="65"/>
        <w:numPr>
          <w:ilvl w:val="0"/>
          <w:numId w:val="17"/>
        </w:numPr>
        <w:rPr>
          <w:rFonts w:ascii="Century Gothic" w:hAnsi="Century Gothic" w:cs="Arial"/>
          <w:sz w:val="22"/>
          <w:szCs w:val="22"/>
          <w:u w:val="single"/>
        </w:rPr>
      </w:pPr>
      <w:bookmarkStart w:id="31" w:name="_Toc170274729"/>
      <w:bookmarkStart w:id="32" w:name="_Toc149117518"/>
      <w:r>
        <w:rPr>
          <w:rFonts w:ascii="Century Gothic" w:hAnsi="Century Gothic" w:cs="Arial"/>
          <w:sz w:val="22"/>
          <w:szCs w:val="22"/>
          <w:u w:val="single"/>
        </w:rPr>
        <w:t>Testaferro</w:t>
      </w:r>
      <w:bookmarkEnd w:id="31"/>
      <w:bookmarkEnd w:id="32"/>
    </w:p>
    <w:p w14:paraId="73A86D02">
      <w:pPr>
        <w:tabs>
          <w:tab w:val="left" w:pos="0"/>
        </w:tabs>
        <w:rPr>
          <w:rFonts w:ascii="Century Gothic" w:hAnsi="Century Gothic" w:cs="Arial"/>
          <w:sz w:val="22"/>
          <w:szCs w:val="22"/>
          <w:lang w:val="es-ES"/>
        </w:rPr>
      </w:pPr>
    </w:p>
    <w:p w14:paraId="1F6AD898">
      <w:pPr>
        <w:rPr>
          <w:rFonts w:ascii="Century Gothic" w:hAnsi="Century Gothic"/>
          <w:sz w:val="22"/>
          <w:szCs w:val="22"/>
          <w:lang w:val="es-ES"/>
        </w:rPr>
      </w:pPr>
      <w:r>
        <w:rPr>
          <w:rFonts w:ascii="Century Gothic" w:hAnsi="Century Gothic"/>
          <w:sz w:val="22"/>
          <w:szCs w:val="22"/>
          <w:lang w:val="es-ES"/>
        </w:rPr>
        <w:t>Prestar el nombre para el ocultamiento de la propiedad de un tercero, o prestar el nombre para adquirir bienes con dineros provenientes de actividades ilícitas.  Consiste básicamente en que mediante el uso del nombre de una o varias personas se constituyen diferentes tipos de depósitos en una o varias instituciones financieras, tales como cuentas corrientes, cuentas de ahorros, certificados de depósito a término, etc.  El lavador utilizando el nombre de uno o varios empleados abre diferentes cuentas en una institución financiera, registrando en ellas sólo una firma o firmas creadas para efectuar retiros o giro de cheques.  También se utiliza la firma del testaferro y la autorización para que el lavador firme en todas las cuentas de manera individual.  Generalmente se utiliza el nombre del administrador del negocio, los cajeros, los mensajeros y los empleados de servicios generales.</w:t>
      </w:r>
    </w:p>
    <w:p w14:paraId="6104043A">
      <w:pPr>
        <w:tabs>
          <w:tab w:val="left" w:pos="0"/>
        </w:tabs>
        <w:rPr>
          <w:rFonts w:ascii="Century Gothic" w:hAnsi="Century Gothic" w:cs="Arial"/>
          <w:sz w:val="22"/>
          <w:szCs w:val="22"/>
          <w:lang w:val="es-ES"/>
        </w:rPr>
      </w:pPr>
    </w:p>
    <w:p w14:paraId="72230A12">
      <w:pPr>
        <w:pStyle w:val="65"/>
        <w:numPr>
          <w:ilvl w:val="0"/>
          <w:numId w:val="17"/>
        </w:numPr>
        <w:rPr>
          <w:rFonts w:ascii="Century Gothic" w:hAnsi="Century Gothic" w:cs="Arial"/>
          <w:sz w:val="22"/>
          <w:szCs w:val="22"/>
          <w:u w:val="single"/>
        </w:rPr>
      </w:pPr>
      <w:bookmarkStart w:id="33" w:name="_Toc149117519"/>
      <w:bookmarkStart w:id="34" w:name="_Toc170274730"/>
      <w:r>
        <w:rPr>
          <w:rFonts w:ascii="Century Gothic" w:hAnsi="Century Gothic" w:cs="Arial"/>
          <w:sz w:val="22"/>
          <w:szCs w:val="22"/>
          <w:u w:val="single"/>
        </w:rPr>
        <w:t>Utilización de Cuentas Inactivas</w:t>
      </w:r>
      <w:bookmarkEnd w:id="33"/>
      <w:bookmarkEnd w:id="34"/>
    </w:p>
    <w:p w14:paraId="45464F0C">
      <w:pPr>
        <w:tabs>
          <w:tab w:val="left" w:pos="0"/>
        </w:tabs>
        <w:rPr>
          <w:rFonts w:ascii="Century Gothic" w:hAnsi="Century Gothic" w:cs="Arial"/>
          <w:sz w:val="22"/>
          <w:szCs w:val="22"/>
          <w:lang w:val="es-ES"/>
        </w:rPr>
      </w:pPr>
    </w:p>
    <w:p w14:paraId="3553589A">
      <w:pPr>
        <w:rPr>
          <w:rFonts w:ascii="Century Gothic" w:hAnsi="Century Gothic"/>
          <w:sz w:val="22"/>
          <w:szCs w:val="22"/>
          <w:lang w:val="es-ES"/>
        </w:rPr>
      </w:pPr>
      <w:r>
        <w:rPr>
          <w:rFonts w:ascii="Century Gothic" w:hAnsi="Century Gothic"/>
          <w:sz w:val="22"/>
          <w:szCs w:val="22"/>
          <w:lang w:val="es-ES"/>
        </w:rPr>
        <w:t>Para el lavador le resulta interesante utilizar las cuentas que no presentan movimientos de consignación o retiros de fondos durante un período de un año o más. Este proceso se realiza mediante complicidad de algún funcionario (generalmente quien tiene a cargo los documentos de registro de firmas) quien recibirá un pago que depende del dinero que se moverá en la cuenta.</w:t>
      </w:r>
    </w:p>
    <w:p w14:paraId="597ACC3C">
      <w:pPr>
        <w:pStyle w:val="47"/>
        <w:rPr>
          <w:rFonts w:ascii="Century Gothic" w:hAnsi="Century Gothic" w:cs="Arial"/>
          <w:color w:val="auto"/>
          <w:szCs w:val="22"/>
          <w:u w:val="single"/>
          <w:lang w:val="es-ES"/>
        </w:rPr>
      </w:pPr>
    </w:p>
    <w:p w14:paraId="56F9EDCA">
      <w:pPr>
        <w:pStyle w:val="65"/>
        <w:numPr>
          <w:ilvl w:val="0"/>
          <w:numId w:val="17"/>
        </w:numPr>
        <w:rPr>
          <w:rFonts w:ascii="Century Gothic" w:hAnsi="Century Gothic" w:cs="Arial"/>
          <w:b/>
          <w:i/>
          <w:sz w:val="22"/>
          <w:szCs w:val="22"/>
        </w:rPr>
      </w:pPr>
      <w:bookmarkStart w:id="35" w:name="_Toc170274731"/>
      <w:bookmarkStart w:id="36" w:name="_Toc149117520"/>
      <w:r>
        <w:rPr>
          <w:rFonts w:ascii="Century Gothic" w:hAnsi="Century Gothic" w:cs="Arial"/>
          <w:sz w:val="22"/>
          <w:szCs w:val="22"/>
          <w:u w:val="single"/>
        </w:rPr>
        <w:t>Créditos Ficticios</w:t>
      </w:r>
      <w:bookmarkEnd w:id="35"/>
      <w:bookmarkEnd w:id="36"/>
    </w:p>
    <w:p w14:paraId="4D244FF9">
      <w:pPr>
        <w:pStyle w:val="47"/>
        <w:rPr>
          <w:rFonts w:ascii="Century Gothic" w:hAnsi="Century Gothic" w:cs="Arial"/>
          <w:color w:val="auto"/>
          <w:szCs w:val="22"/>
          <w:lang w:val="es-ES"/>
        </w:rPr>
      </w:pPr>
    </w:p>
    <w:p w14:paraId="051CEB63">
      <w:pPr>
        <w:rPr>
          <w:rFonts w:ascii="Century Gothic" w:hAnsi="Century Gothic"/>
          <w:sz w:val="22"/>
          <w:szCs w:val="22"/>
          <w:lang w:val="es-ES"/>
        </w:rPr>
      </w:pPr>
      <w:r>
        <w:rPr>
          <w:rFonts w:ascii="Century Gothic" w:hAnsi="Century Gothic"/>
          <w:sz w:val="22"/>
          <w:szCs w:val="22"/>
          <w:lang w:val="es-ES"/>
        </w:rPr>
        <w:t xml:space="preserve">Puede considerarse como una modalidad de testaferrato.  Consiste en que utilizando un procedimiento conocido como la triangulación se obtienen créditos en beneficio del propietario del dinero que debe ser lavado. </w:t>
      </w:r>
    </w:p>
    <w:p w14:paraId="417EE5F8">
      <w:pPr>
        <w:rPr>
          <w:rFonts w:ascii="Century Gothic" w:hAnsi="Century Gothic"/>
          <w:sz w:val="22"/>
          <w:szCs w:val="22"/>
          <w:lang w:val="es-ES"/>
        </w:rPr>
      </w:pPr>
    </w:p>
    <w:p w14:paraId="3C492CFE">
      <w:pPr>
        <w:rPr>
          <w:rFonts w:ascii="Century Gothic" w:hAnsi="Century Gothic"/>
          <w:sz w:val="22"/>
          <w:szCs w:val="22"/>
          <w:lang w:val="es-ES"/>
        </w:rPr>
      </w:pPr>
      <w:r>
        <w:rPr>
          <w:rFonts w:ascii="Century Gothic" w:hAnsi="Century Gothic"/>
          <w:sz w:val="22"/>
          <w:szCs w:val="22"/>
          <w:lang w:val="es-ES"/>
        </w:rPr>
        <w:t xml:space="preserve">El proceso se basa en que una persona o una sociedad propiedad del lavador, constituyen un depósito a término en cualquier entidad financiera, o constituye un negocio fiduciario transfiriendo un conjunto de bienes para que se dé como garantía de obligaciones propias o de terceros. Luego se obtienen créditos a favor de terceros o de sociedades propiedad del lavador, entre las cuales puede estar el propietario de los recursos o sociedades de su propiedad, dando como garantía los depósitos a término constituidos en otras entidades financieras o la fiducia en garantía. </w:t>
      </w:r>
    </w:p>
    <w:p w14:paraId="5E4FD434">
      <w:pPr>
        <w:contextualSpacing/>
        <w:rPr>
          <w:rFonts w:ascii="Century Gothic" w:hAnsi="Century Gothic" w:cs="Arial"/>
          <w:sz w:val="22"/>
          <w:szCs w:val="22"/>
        </w:rPr>
      </w:pPr>
    </w:p>
    <w:p w14:paraId="378CB71E">
      <w:pPr>
        <w:pStyle w:val="65"/>
        <w:numPr>
          <w:ilvl w:val="0"/>
          <w:numId w:val="12"/>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contextualSpacing/>
        <w:rPr>
          <w:rFonts w:ascii="Century Gothic" w:hAnsi="Century Gothic" w:cs="Arial"/>
          <w:sz w:val="22"/>
          <w:szCs w:val="22"/>
        </w:rPr>
      </w:pPr>
      <w:r>
        <w:rPr>
          <w:rFonts w:ascii="Century Gothic" w:hAnsi="Century Gothic" w:cs="ITC Franklin Gothic Std Book"/>
          <w:b/>
          <w:bCs/>
          <w:color w:val="000000"/>
          <w:sz w:val="22"/>
          <w:szCs w:val="22"/>
        </w:rPr>
        <w:t>Conductas Delictivas que generan Lavado de Activos</w:t>
      </w:r>
    </w:p>
    <w:p w14:paraId="2C59C6C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contextualSpacing/>
        <w:rPr>
          <w:rFonts w:ascii="Century Gothic" w:hAnsi="Century Gothic" w:cs="Arial"/>
          <w:sz w:val="22"/>
          <w:szCs w:val="22"/>
          <w:lang w:val="es-ES"/>
        </w:rPr>
      </w:pPr>
    </w:p>
    <w:p w14:paraId="0B2B81B5">
      <w:pPr>
        <w:autoSpaceDE w:val="0"/>
        <w:autoSpaceDN w:val="0"/>
        <w:adjustRightInd w:val="0"/>
        <w:spacing w:after="14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De acuerdo con el artículo 323 del código penal colombiano, las conductas delic</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 xml:space="preserve">tivas que tipifican el lavado de activos son: </w:t>
      </w:r>
    </w:p>
    <w:p w14:paraId="1F1BC630">
      <w:pPr>
        <w:autoSpaceDE w:val="0"/>
        <w:autoSpaceDN w:val="0"/>
        <w:adjustRightInd w:val="0"/>
        <w:spacing w:after="140"/>
        <w:contextualSpacing/>
        <w:rPr>
          <w:rFonts w:ascii="Century Gothic" w:hAnsi="Century Gothic" w:cs="ITC Franklin Gothic Std Book" w:eastAsiaTheme="minorHAnsi"/>
          <w:color w:val="000000"/>
          <w:sz w:val="18"/>
          <w:szCs w:val="18"/>
          <w:lang w:eastAsia="en-US"/>
        </w:rPr>
      </w:pPr>
    </w:p>
    <w:p w14:paraId="078ED337">
      <w:pPr>
        <w:autoSpaceDE w:val="0"/>
        <w:autoSpaceDN w:val="0"/>
        <w:adjustRightInd w:val="0"/>
        <w:spacing w:after="125"/>
        <w:contextualSpacing/>
        <w:jc w:val="left"/>
        <w:rPr>
          <w:rFonts w:ascii="Century Gothic" w:hAnsi="Century Gothic" w:cs="ITC Franklin Gothic Std Book" w:eastAsiaTheme="minorHAnsi"/>
          <w:color w:val="000000"/>
          <w:sz w:val="18"/>
          <w:szCs w:val="18"/>
          <w:lang w:eastAsia="en-US"/>
        </w:rPr>
        <w:sectPr>
          <w:headerReference r:id="rId7" w:type="first"/>
          <w:headerReference r:id="rId5" w:type="default"/>
          <w:footerReference r:id="rId8" w:type="default"/>
          <w:headerReference r:id="rId6" w:type="even"/>
          <w:pgSz w:w="12240" w:h="15840"/>
          <w:pgMar w:top="1701" w:right="1701" w:bottom="1701" w:left="1701" w:header="567" w:footer="567" w:gutter="0"/>
          <w:cols w:space="708" w:num="1"/>
          <w:titlePg/>
          <w:docGrid w:linePitch="360" w:charSpace="0"/>
        </w:sectPr>
      </w:pPr>
    </w:p>
    <w:p w14:paraId="0D49AC2A">
      <w:pPr>
        <w:pStyle w:val="65"/>
        <w:numPr>
          <w:ilvl w:val="1"/>
          <w:numId w:val="18"/>
        </w:numPr>
        <w:autoSpaceDE w:val="0"/>
        <w:autoSpaceDN w:val="0"/>
        <w:adjustRightInd w:val="0"/>
        <w:spacing w:after="125"/>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Tráfico de migrantes. </w:t>
      </w:r>
    </w:p>
    <w:p w14:paraId="5E5E9029">
      <w:pPr>
        <w:pStyle w:val="65"/>
        <w:numPr>
          <w:ilvl w:val="1"/>
          <w:numId w:val="18"/>
        </w:numPr>
        <w:autoSpaceDE w:val="0"/>
        <w:autoSpaceDN w:val="0"/>
        <w:adjustRightInd w:val="0"/>
        <w:spacing w:after="125"/>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Trata de personas. </w:t>
      </w:r>
    </w:p>
    <w:p w14:paraId="6CCD6AFB">
      <w:pPr>
        <w:pStyle w:val="65"/>
        <w:numPr>
          <w:ilvl w:val="1"/>
          <w:numId w:val="18"/>
        </w:numPr>
        <w:autoSpaceDE w:val="0"/>
        <w:autoSpaceDN w:val="0"/>
        <w:adjustRightInd w:val="0"/>
        <w:spacing w:after="125"/>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Extorsión. </w:t>
      </w:r>
    </w:p>
    <w:p w14:paraId="1F8E0337">
      <w:pPr>
        <w:pStyle w:val="65"/>
        <w:numPr>
          <w:ilvl w:val="1"/>
          <w:numId w:val="18"/>
        </w:numPr>
        <w:autoSpaceDE w:val="0"/>
        <w:autoSpaceDN w:val="0"/>
        <w:adjustRightInd w:val="0"/>
        <w:spacing w:after="125"/>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Enriquecimiento ilícito de particulares </w:t>
      </w:r>
    </w:p>
    <w:p w14:paraId="261E1B57">
      <w:pPr>
        <w:pStyle w:val="65"/>
        <w:numPr>
          <w:ilvl w:val="1"/>
          <w:numId w:val="18"/>
        </w:numPr>
        <w:autoSpaceDE w:val="0"/>
        <w:autoSpaceDN w:val="0"/>
        <w:adjustRightInd w:val="0"/>
        <w:spacing w:after="125"/>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Secuestro extorsivo. </w:t>
      </w:r>
    </w:p>
    <w:p w14:paraId="6C0BA195">
      <w:pPr>
        <w:pStyle w:val="65"/>
        <w:numPr>
          <w:ilvl w:val="0"/>
          <w:numId w:val="19"/>
        </w:numPr>
        <w:autoSpaceDE w:val="0"/>
        <w:autoSpaceDN w:val="0"/>
        <w:adjustRightInd w:val="0"/>
        <w:spacing w:after="125"/>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Rebelión. </w:t>
      </w:r>
    </w:p>
    <w:p w14:paraId="1542CE30">
      <w:pPr>
        <w:pStyle w:val="65"/>
        <w:numPr>
          <w:ilvl w:val="0"/>
          <w:numId w:val="19"/>
        </w:numPr>
        <w:autoSpaceDE w:val="0"/>
        <w:autoSpaceDN w:val="0"/>
        <w:adjustRightInd w:val="0"/>
        <w:spacing w:after="125"/>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Tráfico de armas. </w:t>
      </w:r>
    </w:p>
    <w:p w14:paraId="1BB72A14">
      <w:pPr>
        <w:pStyle w:val="65"/>
        <w:numPr>
          <w:ilvl w:val="0"/>
          <w:numId w:val="19"/>
        </w:numPr>
        <w:autoSpaceDE w:val="0"/>
        <w:autoSpaceDN w:val="0"/>
        <w:adjustRightInd w:val="0"/>
        <w:spacing w:after="125"/>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Financiación del terrorismo y administración de recursos relacionados con actividades terroristas. </w:t>
      </w:r>
    </w:p>
    <w:p w14:paraId="5CD5FBA2">
      <w:pPr>
        <w:pStyle w:val="65"/>
        <w:numPr>
          <w:ilvl w:val="0"/>
          <w:numId w:val="19"/>
        </w:numPr>
        <w:autoSpaceDE w:val="0"/>
        <w:autoSpaceDN w:val="0"/>
        <w:adjustRightInd w:val="0"/>
        <w:spacing w:after="125"/>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Tráfico de drogas tóxicas, estupefacientes o sustancias sicotrópicas. </w:t>
      </w:r>
    </w:p>
    <w:p w14:paraId="182362CD">
      <w:pPr>
        <w:pStyle w:val="65"/>
        <w:numPr>
          <w:ilvl w:val="0"/>
          <w:numId w:val="19"/>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Delitos contra el Sistema Financiero como: </w:t>
      </w:r>
    </w:p>
    <w:p w14:paraId="209209FF">
      <w:pPr>
        <w:pStyle w:val="65"/>
        <w:numPr>
          <w:ilvl w:val="0"/>
          <w:numId w:val="20"/>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Utilización indebida de fondos captados del público. </w:t>
      </w:r>
    </w:p>
    <w:p w14:paraId="1D9645F8">
      <w:pPr>
        <w:pStyle w:val="65"/>
        <w:numPr>
          <w:ilvl w:val="0"/>
          <w:numId w:val="20"/>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Operaciones no autorizadas con Accionistas o asociados.</w:t>
      </w:r>
    </w:p>
    <w:p w14:paraId="2906F5C4">
      <w:pPr>
        <w:pStyle w:val="65"/>
        <w:numPr>
          <w:ilvl w:val="0"/>
          <w:numId w:val="20"/>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Captación masiva y habitual de dineros. </w:t>
      </w:r>
    </w:p>
    <w:p w14:paraId="0B0F1C4D">
      <w:pPr>
        <w:pStyle w:val="65"/>
        <w:numPr>
          <w:ilvl w:val="0"/>
          <w:numId w:val="20"/>
        </w:numPr>
        <w:autoSpaceDE w:val="0"/>
        <w:autoSpaceDN w:val="0"/>
        <w:adjustRightInd w:val="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Manipulación fraudulenta de especies inscritas en el registro nacional de valores y emisores. </w:t>
      </w:r>
    </w:p>
    <w:p w14:paraId="5DBD5D02">
      <w:pPr>
        <w:pStyle w:val="65"/>
        <w:numPr>
          <w:ilvl w:val="0"/>
          <w:numId w:val="21"/>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Delitos contra la Administración Pública como:</w:t>
      </w:r>
    </w:p>
    <w:p w14:paraId="44A607EB">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Peculado por apropiación. </w:t>
      </w:r>
    </w:p>
    <w:p w14:paraId="51C1D543">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Peculado por uso.</w:t>
      </w:r>
    </w:p>
    <w:p w14:paraId="112F45E3">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Peculado por aplicación oficial diferente.</w:t>
      </w:r>
    </w:p>
    <w:p w14:paraId="5FE4611F">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Peculado culposo.</w:t>
      </w:r>
    </w:p>
    <w:p w14:paraId="16B13B6E">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Peculado culposo frente a recursos de la seguridad social.</w:t>
      </w:r>
    </w:p>
    <w:p w14:paraId="308A9551">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Omisión del agente retenedor o recaudador. </w:t>
      </w:r>
    </w:p>
    <w:p w14:paraId="4F8F2130">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Destino de recursos del tesoro para el estímulo o beneficio indebido de exportadores y comerciantes de metales preciosos. </w:t>
      </w:r>
    </w:p>
    <w:p w14:paraId="5369A457">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Fraude a subvenciones</w:t>
      </w:r>
    </w:p>
    <w:p w14:paraId="40F90355">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Concusión. </w:t>
      </w:r>
    </w:p>
    <w:p w14:paraId="2C01A600">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Cohecho propio. </w:t>
      </w:r>
    </w:p>
    <w:p w14:paraId="247396BF">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Cohecho impropio.</w:t>
      </w:r>
    </w:p>
    <w:p w14:paraId="620920AC">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Cohecho para dar u ofrecer.</w:t>
      </w:r>
    </w:p>
    <w:p w14:paraId="65FE13F9">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Violación del régimen legal o constitucional de inhabilidades o incompatibilidades.</w:t>
      </w:r>
    </w:p>
    <w:p w14:paraId="564A2AD6">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Contrato sin cumplimiento de requisitos legales.</w:t>
      </w:r>
    </w:p>
    <w:p w14:paraId="73586EF6">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Acuerdos restrictivos de la competencia.</w:t>
      </w:r>
    </w:p>
    <w:p w14:paraId="1FEC805E">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Tráfico de influencia del servidor público</w:t>
      </w:r>
    </w:p>
    <w:p w14:paraId="513EF515">
      <w:pPr>
        <w:pStyle w:val="65"/>
        <w:numPr>
          <w:ilvl w:val="0"/>
          <w:numId w:val="22"/>
        </w:numPr>
        <w:autoSpaceDE w:val="0"/>
        <w:autoSpaceDN w:val="0"/>
        <w:adjustRightInd w:val="0"/>
        <w:spacing w:after="96"/>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Tráfico de influencia de particulares</w:t>
      </w:r>
    </w:p>
    <w:p w14:paraId="765A2F9A">
      <w:pPr>
        <w:pStyle w:val="65"/>
        <w:numPr>
          <w:ilvl w:val="0"/>
          <w:numId w:val="22"/>
        </w:numPr>
        <w:autoSpaceDE w:val="0"/>
        <w:autoSpaceDN w:val="0"/>
        <w:adjustRightInd w:val="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Enriquecimiento ilícito.</w:t>
      </w:r>
    </w:p>
    <w:p w14:paraId="2B753FD7">
      <w:pPr>
        <w:pStyle w:val="65"/>
        <w:numPr>
          <w:ilvl w:val="0"/>
          <w:numId w:val="22"/>
        </w:numPr>
        <w:autoSpaceDE w:val="0"/>
        <w:autoSpaceDN w:val="0"/>
        <w:adjustRightInd w:val="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Prevaricato por acción.</w:t>
      </w:r>
    </w:p>
    <w:p w14:paraId="2CB00080">
      <w:pPr>
        <w:pStyle w:val="65"/>
        <w:numPr>
          <w:ilvl w:val="0"/>
          <w:numId w:val="22"/>
        </w:numPr>
        <w:autoSpaceDE w:val="0"/>
        <w:autoSpaceDN w:val="0"/>
        <w:adjustRightInd w:val="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Defraudación o evasión tributaria</w:t>
      </w:r>
    </w:p>
    <w:p w14:paraId="24C930C3">
      <w:pPr>
        <w:pStyle w:val="65"/>
        <w:numPr>
          <w:ilvl w:val="0"/>
          <w:numId w:val="22"/>
        </w:numPr>
        <w:autoSpaceDE w:val="0"/>
        <w:autoSpaceDN w:val="0"/>
        <w:adjustRightInd w:val="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Entre otros.</w:t>
      </w:r>
    </w:p>
    <w:p w14:paraId="4182A9D6">
      <w:pPr>
        <w:pStyle w:val="65"/>
        <w:numPr>
          <w:ilvl w:val="0"/>
          <w:numId w:val="23"/>
        </w:numPr>
        <w:autoSpaceDE w:val="0"/>
        <w:autoSpaceDN w:val="0"/>
        <w:adjustRightInd w:val="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Delitos ejecutados bajo Concierto para delinquir.</w:t>
      </w:r>
    </w:p>
    <w:p w14:paraId="687C4E3F">
      <w:pPr>
        <w:pStyle w:val="65"/>
        <w:numPr>
          <w:ilvl w:val="0"/>
          <w:numId w:val="23"/>
        </w:numPr>
        <w:autoSpaceDE w:val="0"/>
        <w:autoSpaceDN w:val="0"/>
        <w:adjustRightInd w:val="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Tráfico de niños, niñas y adolescentes.</w:t>
      </w:r>
    </w:p>
    <w:p w14:paraId="36E408C8">
      <w:pPr>
        <w:pStyle w:val="65"/>
        <w:numPr>
          <w:ilvl w:val="0"/>
          <w:numId w:val="23"/>
        </w:numPr>
        <w:autoSpaceDE w:val="0"/>
        <w:autoSpaceDN w:val="0"/>
        <w:adjustRightInd w:val="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Contrabando.</w:t>
      </w:r>
    </w:p>
    <w:p w14:paraId="5C76F12F">
      <w:pPr>
        <w:pStyle w:val="65"/>
        <w:numPr>
          <w:ilvl w:val="0"/>
          <w:numId w:val="23"/>
        </w:numPr>
        <w:autoSpaceDE w:val="0"/>
        <w:autoSpaceDN w:val="0"/>
        <w:adjustRightInd w:val="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Fraude aduanero</w:t>
      </w:r>
    </w:p>
    <w:p w14:paraId="7CE11B4E">
      <w:pPr>
        <w:pStyle w:val="65"/>
        <w:numPr>
          <w:ilvl w:val="0"/>
          <w:numId w:val="23"/>
        </w:numPr>
        <w:autoSpaceDE w:val="0"/>
        <w:autoSpaceDN w:val="0"/>
        <w:adjustRightInd w:val="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Favorecimiento o facilitación del contrabando </w:t>
      </w:r>
    </w:p>
    <w:p w14:paraId="3533AB4A">
      <w:pPr>
        <w:pStyle w:val="65"/>
        <w:numPr>
          <w:ilvl w:val="0"/>
          <w:numId w:val="23"/>
        </w:numPr>
        <w:autoSpaceDE w:val="0"/>
        <w:autoSpaceDN w:val="0"/>
        <w:adjustRightInd w:val="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Contrabando y favorecimiento de contrabando de hidrocarburos y sus derivados</w:t>
      </w:r>
    </w:p>
    <w:p w14:paraId="62E182FC">
      <w:pPr>
        <w:pStyle w:val="65"/>
        <w:numPr>
          <w:ilvl w:val="0"/>
          <w:numId w:val="23"/>
        </w:numPr>
        <w:tabs>
          <w:tab w:val="left" w:pos="1152"/>
        </w:tabs>
        <w:autoSpaceDE w:val="0"/>
        <w:autoSpaceDN w:val="0"/>
        <w:adjustRightInd w:val="0"/>
        <w:spacing w:before="220" w:after="100"/>
        <w:contextualSpacing/>
        <w:rPr>
          <w:lang w:eastAsia="en-US"/>
        </w:rPr>
        <w:sectPr>
          <w:type w:val="continuous"/>
          <w:pgSz w:w="12240" w:h="15840"/>
          <w:pgMar w:top="1701" w:right="1701" w:bottom="1701" w:left="1701" w:header="567" w:footer="567" w:gutter="0"/>
          <w:cols w:space="708" w:num="1"/>
          <w:titlePg/>
          <w:docGrid w:linePitch="360" w:charSpace="0"/>
        </w:sectPr>
      </w:pPr>
      <w:r>
        <w:rPr>
          <w:rFonts w:ascii="Century Gothic" w:hAnsi="Century Gothic" w:cs="ITC Franklin Gothic Std Book" w:eastAsiaTheme="minorHAnsi"/>
          <w:color w:val="000000"/>
          <w:sz w:val="22"/>
          <w:szCs w:val="22"/>
          <w:lang w:eastAsia="en-US"/>
        </w:rPr>
        <w:t>Las demás consideradas como tal por las normas internacionales aplicables en las jurisdicciones en las que se opera.</w:t>
      </w:r>
      <w:r>
        <w:rPr>
          <w:lang w:eastAsia="en-US"/>
        </w:rPr>
        <w:tab/>
      </w:r>
    </w:p>
    <w:p w14:paraId="006ADCEF">
      <w:pPr>
        <w:pStyle w:val="91"/>
        <w:numPr>
          <w:ilvl w:val="0"/>
          <w:numId w:val="12"/>
        </w:numPr>
        <w:spacing w:before="220" w:after="100"/>
        <w:rPr>
          <w:rFonts w:ascii="Century Gothic" w:hAnsi="Century Gothic" w:cs="ITC Franklin Gothic Std Book"/>
          <w:b/>
          <w:bCs/>
          <w:color w:val="000000"/>
          <w:sz w:val="22"/>
          <w:szCs w:val="22"/>
        </w:rPr>
      </w:pPr>
      <w:r>
        <w:rPr>
          <w:rFonts w:ascii="Century Gothic" w:hAnsi="Century Gothic" w:cs="ITC Franklin Gothic Std Book"/>
          <w:b/>
          <w:bCs/>
          <w:color w:val="000000"/>
          <w:sz w:val="22"/>
          <w:szCs w:val="22"/>
        </w:rPr>
        <w:t xml:space="preserve">Formas de Comisión del Lavado de Activos </w:t>
      </w:r>
    </w:p>
    <w:p w14:paraId="1EAA7912">
      <w:pPr>
        <w:rPr>
          <w:rFonts w:ascii="Century Gothic" w:hAnsi="Century Gothic" w:cs="ITC Franklin Gothic Std Book"/>
          <w:color w:val="000000"/>
          <w:sz w:val="22"/>
          <w:szCs w:val="22"/>
        </w:rPr>
      </w:pPr>
      <w:r>
        <w:rPr>
          <w:rFonts w:ascii="Century Gothic" w:hAnsi="Century Gothic" w:cs="ITC Franklin Gothic Std Book"/>
          <w:color w:val="000000"/>
          <w:sz w:val="22"/>
          <w:szCs w:val="22"/>
        </w:rPr>
        <w:t>El lavado de activos se puede cometer por cualquier persona que adquiera, res</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guarde, invierta, transporte, transforme, almacene, conserve, custodie o adminis</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tre bienes que tengan su origen</w:t>
      </w:r>
      <w:bookmarkStart w:id="37" w:name="_Toc366773051"/>
      <w:bookmarkStart w:id="38" w:name="_Toc367082127"/>
      <w:bookmarkStart w:id="39" w:name="_Toc367082307"/>
      <w:bookmarkStart w:id="40" w:name="_Toc367082252"/>
      <w:bookmarkStart w:id="41" w:name="_Toc367082368"/>
      <w:bookmarkStart w:id="42" w:name="_Toc367950339"/>
      <w:bookmarkStart w:id="43" w:name="_Toc367974417"/>
      <w:bookmarkStart w:id="44" w:name="_Toc321821648"/>
      <w:bookmarkStart w:id="45" w:name="_Toc367082191"/>
      <w:bookmarkStart w:id="46" w:name="_Toc367975093"/>
      <w:bookmarkStart w:id="47" w:name="_Toc367949799"/>
      <w:bookmarkStart w:id="48" w:name="_Toc443895668"/>
      <w:bookmarkStart w:id="49" w:name="_Toc293412299"/>
      <w:bookmarkStart w:id="50" w:name="_Toc366772923"/>
      <w:bookmarkStart w:id="51" w:name="_Toc366772990"/>
      <w:r>
        <w:rPr>
          <w:rFonts w:ascii="Century Gothic" w:hAnsi="Century Gothic" w:cs="ITC Franklin Gothic Std Book"/>
          <w:color w:val="000000"/>
          <w:sz w:val="22"/>
          <w:szCs w:val="22"/>
        </w:rPr>
        <w:t xml:space="preserve"> mediato o inmediato en las actividades delictivas mencionadas anteriormente. </w:t>
      </w:r>
    </w:p>
    <w:p w14:paraId="0CF35C85">
      <w:pPr>
        <w:rPr>
          <w:rFonts w:cs="ITC Franklin Gothic Std Book"/>
          <w:color w:val="000000"/>
          <w:sz w:val="22"/>
          <w:szCs w:val="22"/>
        </w:rPr>
      </w:pPr>
    </w:p>
    <w:p w14:paraId="6F31030A">
      <w:pPr>
        <w:pStyle w:val="65"/>
        <w:numPr>
          <w:ilvl w:val="1"/>
          <w:numId w:val="8"/>
        </w:numPr>
        <w:rPr>
          <w:rFonts w:ascii="Century Gothic" w:hAnsi="Century Gothic"/>
          <w:b/>
          <w:sz w:val="22"/>
          <w:szCs w:val="22"/>
        </w:rPr>
      </w:pPr>
      <w:r>
        <w:rPr>
          <w:rFonts w:ascii="Century Gothic" w:hAnsi="Century Gothic"/>
          <w:b/>
          <w:sz w:val="22"/>
          <w:szCs w:val="22"/>
        </w:rPr>
        <w:t>FINANCIACIÓN DEL TERRORISMO</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64E7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Century Gothic" w:hAnsi="Century Gothic" w:cs="Arial"/>
          <w:sz w:val="22"/>
          <w:szCs w:val="22"/>
          <w:lang w:val="es-ES"/>
        </w:rPr>
      </w:pPr>
    </w:p>
    <w:bookmarkEnd w:id="23"/>
    <w:p w14:paraId="4B83E510">
      <w:pPr>
        <w:pStyle w:val="65"/>
        <w:numPr>
          <w:ilvl w:val="0"/>
          <w:numId w:val="24"/>
        </w:numPr>
        <w:rPr>
          <w:rFonts w:ascii="Century Gothic" w:hAnsi="Century Gothic" w:cs="Arial"/>
          <w:b/>
          <w:sz w:val="22"/>
          <w:szCs w:val="22"/>
        </w:rPr>
      </w:pPr>
      <w:r>
        <w:rPr>
          <w:rFonts w:ascii="Century Gothic" w:hAnsi="Century Gothic" w:cs="Arial"/>
          <w:b/>
          <w:sz w:val="22"/>
          <w:szCs w:val="22"/>
        </w:rPr>
        <w:t>Definición</w:t>
      </w:r>
    </w:p>
    <w:p w14:paraId="2CD721A2">
      <w:pPr>
        <w:pStyle w:val="65"/>
        <w:ind w:left="360"/>
        <w:rPr>
          <w:rFonts w:ascii="Century Gothic" w:hAnsi="Century Gothic" w:cs="Arial"/>
          <w:b/>
          <w:sz w:val="22"/>
          <w:szCs w:val="22"/>
        </w:rPr>
      </w:pPr>
    </w:p>
    <w:p w14:paraId="1DF77347">
      <w:pPr>
        <w:rPr>
          <w:rFonts w:ascii="Century Gothic" w:hAnsi="Century Gothic" w:cs="ITC Franklin Gothic Std Book"/>
          <w:color w:val="000000"/>
          <w:sz w:val="22"/>
          <w:szCs w:val="22"/>
        </w:rPr>
      </w:pPr>
      <w:r>
        <w:rPr>
          <w:rFonts w:ascii="Century Gothic" w:hAnsi="Century Gothic" w:cs="ITC Franklin Gothic Std Book"/>
          <w:color w:val="000000"/>
          <w:sz w:val="22"/>
          <w:szCs w:val="22"/>
        </w:rPr>
        <w:t>La financiación del terrorismo es el proceso por medio del cual se obtienen los bienes, recursos o activos de procedencia ilícita o lícita que sirven para realizar actividades terroristas, es decir, aquellas que generan zozobra, temor o terror a la po</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blación a través de actos que ponen en peligro la vida, la integridad física o liber</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tad de las personas, las edificaciones, los medios de comunicación, los medios de transporte y los medios de procesamiento o conducción de fluidos o fuerzas motri</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ces valiéndose de instrumentos capaces de causar estragos.</w:t>
      </w:r>
    </w:p>
    <w:p w14:paraId="390E23D0">
      <w:pPr>
        <w:rPr>
          <w:rFonts w:ascii="Century Gothic" w:hAnsi="Century Gothic" w:cs="Arial"/>
          <w:sz w:val="22"/>
          <w:szCs w:val="22"/>
          <w:lang w:val="es-ES"/>
        </w:rPr>
      </w:pPr>
    </w:p>
    <w:p w14:paraId="6E80C52A">
      <w:pPr>
        <w:pStyle w:val="65"/>
        <w:numPr>
          <w:ilvl w:val="0"/>
          <w:numId w:val="24"/>
        </w:numPr>
        <w:rPr>
          <w:rFonts w:ascii="Century Gothic" w:hAnsi="Century Gothic" w:cs="Arial"/>
          <w:b/>
          <w:sz w:val="22"/>
          <w:szCs w:val="22"/>
        </w:rPr>
      </w:pPr>
      <w:r>
        <w:rPr>
          <w:rFonts w:ascii="Century Gothic" w:hAnsi="Century Gothic" w:cs="Arial"/>
          <w:b/>
          <w:sz w:val="22"/>
          <w:szCs w:val="22"/>
        </w:rPr>
        <w:t>Son ejemplo de financiación del terrorismo:</w:t>
      </w:r>
    </w:p>
    <w:p w14:paraId="5D18DDF5">
      <w:pPr>
        <w:rPr>
          <w:rFonts w:ascii="Century Gothic" w:hAnsi="Century Gothic" w:cs="Arial"/>
          <w:sz w:val="22"/>
          <w:szCs w:val="22"/>
          <w:lang w:val="es-ES"/>
        </w:rPr>
      </w:pPr>
    </w:p>
    <w:p w14:paraId="1E07EA08">
      <w:pPr>
        <w:numPr>
          <w:ilvl w:val="0"/>
          <w:numId w:val="25"/>
        </w:numPr>
        <w:rPr>
          <w:rFonts w:ascii="Century Gothic" w:hAnsi="Century Gothic" w:cs="Arial"/>
          <w:sz w:val="22"/>
          <w:szCs w:val="22"/>
          <w:lang w:val="es-ES"/>
        </w:rPr>
      </w:pPr>
      <w:r>
        <w:rPr>
          <w:rFonts w:ascii="Century Gothic" w:hAnsi="Century Gothic" w:cs="Arial"/>
          <w:sz w:val="22"/>
          <w:szCs w:val="22"/>
          <w:lang w:val="es-ES"/>
        </w:rPr>
        <w:t>Atentados contra la vida de una persona que puedan causar la muerte;</w:t>
      </w:r>
    </w:p>
    <w:p w14:paraId="30A9E935">
      <w:pPr>
        <w:numPr>
          <w:ilvl w:val="0"/>
          <w:numId w:val="25"/>
        </w:numPr>
        <w:rPr>
          <w:rFonts w:ascii="Century Gothic" w:hAnsi="Century Gothic" w:cs="Arial"/>
          <w:sz w:val="22"/>
          <w:szCs w:val="22"/>
          <w:lang w:val="es-ES"/>
        </w:rPr>
      </w:pPr>
      <w:r>
        <w:rPr>
          <w:rFonts w:ascii="Century Gothic" w:hAnsi="Century Gothic" w:cs="Arial"/>
          <w:sz w:val="22"/>
          <w:szCs w:val="22"/>
          <w:lang w:val="es-ES"/>
        </w:rPr>
        <w:t>Atentados contra la integridad física de una persona;</w:t>
      </w:r>
    </w:p>
    <w:p w14:paraId="016467DB">
      <w:pPr>
        <w:numPr>
          <w:ilvl w:val="0"/>
          <w:numId w:val="25"/>
        </w:numPr>
        <w:rPr>
          <w:rFonts w:ascii="Century Gothic" w:hAnsi="Century Gothic" w:cs="Arial"/>
          <w:sz w:val="22"/>
          <w:szCs w:val="22"/>
          <w:lang w:val="es-ES"/>
        </w:rPr>
      </w:pPr>
      <w:r>
        <w:rPr>
          <w:rFonts w:ascii="Century Gothic" w:hAnsi="Century Gothic" w:cs="Arial"/>
          <w:sz w:val="22"/>
          <w:szCs w:val="22"/>
          <w:lang w:val="es-ES"/>
        </w:rPr>
        <w:t>Secuestro o toma de rehenes;</w:t>
      </w:r>
    </w:p>
    <w:p w14:paraId="03F0E89F">
      <w:pPr>
        <w:numPr>
          <w:ilvl w:val="0"/>
          <w:numId w:val="25"/>
        </w:numPr>
        <w:rPr>
          <w:rFonts w:ascii="Century Gothic" w:hAnsi="Century Gothic" w:cs="Arial"/>
          <w:sz w:val="22"/>
          <w:szCs w:val="22"/>
          <w:lang w:val="es-ES"/>
        </w:rPr>
      </w:pPr>
      <w:r>
        <w:rPr>
          <w:rFonts w:ascii="Century Gothic" w:hAnsi="Century Gothic" w:cs="Arial"/>
          <w:sz w:val="22"/>
          <w:szCs w:val="22"/>
          <w:lang w:val="es-ES"/>
        </w:rPr>
        <w:t>Causar destrucciones masivas a un gobierno o a instalaciones públicas, sistemas de transporte, infraestructuras, incluidos los sistemas de información, plataformas fijas emplazadas en la plataforma continental, lugares públicos o propiedades privadas que puedan poner en peligro vidas humanas o producir un gran perjuicio económico;</w:t>
      </w:r>
    </w:p>
    <w:p w14:paraId="4C18C7BF">
      <w:pPr>
        <w:numPr>
          <w:ilvl w:val="0"/>
          <w:numId w:val="25"/>
        </w:numPr>
        <w:rPr>
          <w:rFonts w:ascii="Century Gothic" w:hAnsi="Century Gothic" w:cs="Arial"/>
          <w:sz w:val="22"/>
          <w:szCs w:val="22"/>
          <w:lang w:val="es-ES"/>
        </w:rPr>
      </w:pPr>
      <w:r>
        <w:rPr>
          <w:rFonts w:ascii="Century Gothic" w:hAnsi="Century Gothic" w:cs="Arial"/>
          <w:sz w:val="22"/>
          <w:szCs w:val="22"/>
          <w:lang w:val="es-ES"/>
        </w:rPr>
        <w:t>Apoderamiento de aeronaves y de buques o de otros medios de transporte colectivo o de mercancías;</w:t>
      </w:r>
    </w:p>
    <w:p w14:paraId="6DB3C142">
      <w:pPr>
        <w:numPr>
          <w:ilvl w:val="0"/>
          <w:numId w:val="25"/>
        </w:numPr>
        <w:rPr>
          <w:rFonts w:ascii="Century Gothic" w:hAnsi="Century Gothic" w:cs="Arial"/>
          <w:sz w:val="22"/>
          <w:szCs w:val="22"/>
          <w:lang w:val="es-ES"/>
        </w:rPr>
      </w:pPr>
      <w:r>
        <w:rPr>
          <w:rFonts w:ascii="Century Gothic" w:hAnsi="Century Gothic" w:cs="Arial"/>
          <w:sz w:val="22"/>
          <w:szCs w:val="22"/>
          <w:lang w:val="es-ES"/>
        </w:rPr>
        <w:t>Fabricación, tenencia, adquisición, transporte, suministro o utilización de armas de fuego, explosivos, armas nucleares biológicas y químicas e investigación y desarrollo de armas biológicas y químicas;</w:t>
      </w:r>
    </w:p>
    <w:p w14:paraId="2409FDE2">
      <w:pPr>
        <w:numPr>
          <w:ilvl w:val="0"/>
          <w:numId w:val="25"/>
        </w:numPr>
        <w:rPr>
          <w:rFonts w:ascii="Century Gothic" w:hAnsi="Century Gothic" w:cs="Arial"/>
          <w:sz w:val="22"/>
          <w:szCs w:val="22"/>
          <w:lang w:val="es-ES"/>
        </w:rPr>
      </w:pPr>
      <w:r>
        <w:rPr>
          <w:rFonts w:ascii="Century Gothic" w:hAnsi="Century Gothic" w:cs="Arial"/>
          <w:sz w:val="22"/>
          <w:szCs w:val="22"/>
          <w:lang w:val="es-ES"/>
        </w:rPr>
        <w:t>Liberación de sustancias peligrosas, o provocación de incendios, inundaciones o explosiones cuyo efecto sea poner en peligro vidas humanas;</w:t>
      </w:r>
    </w:p>
    <w:p w14:paraId="2E5D9926">
      <w:pPr>
        <w:numPr>
          <w:ilvl w:val="0"/>
          <w:numId w:val="25"/>
        </w:numPr>
        <w:rPr>
          <w:rFonts w:ascii="Century Gothic" w:hAnsi="Century Gothic" w:cs="Arial"/>
          <w:sz w:val="22"/>
          <w:szCs w:val="22"/>
          <w:lang w:val="es-ES"/>
        </w:rPr>
      </w:pPr>
      <w:r>
        <w:rPr>
          <w:rFonts w:ascii="Century Gothic" w:hAnsi="Century Gothic" w:cs="Arial"/>
          <w:sz w:val="22"/>
          <w:szCs w:val="22"/>
          <w:lang w:val="es-ES"/>
        </w:rPr>
        <w:t>Perturbación o interrupción del suministro de agua, electricidad u otro recurso fundamental cuyo efecto sea poner en peligro vidas humanas;</w:t>
      </w:r>
    </w:p>
    <w:p w14:paraId="57C91CAC">
      <w:pPr>
        <w:numPr>
          <w:ilvl w:val="0"/>
          <w:numId w:val="25"/>
        </w:numPr>
        <w:rPr>
          <w:rFonts w:ascii="Century Gothic" w:hAnsi="Century Gothic" w:cs="Arial"/>
          <w:iCs/>
          <w:sz w:val="22"/>
          <w:szCs w:val="22"/>
          <w:lang w:val="es-ES"/>
        </w:rPr>
      </w:pPr>
      <w:r>
        <w:rPr>
          <w:rFonts w:ascii="Century Gothic" w:hAnsi="Century Gothic" w:cs="Arial"/>
          <w:sz w:val="22"/>
          <w:szCs w:val="22"/>
          <w:lang w:val="es-ES"/>
        </w:rPr>
        <w:t xml:space="preserve">Amenaza de llevar a cabo cualesquiera de las acciones enumeradas en las letras </w:t>
      </w:r>
      <w:r>
        <w:rPr>
          <w:rFonts w:ascii="Century Gothic" w:hAnsi="Century Gothic" w:cs="Arial"/>
          <w:iCs/>
          <w:sz w:val="22"/>
          <w:szCs w:val="22"/>
          <w:lang w:val="es-ES"/>
        </w:rPr>
        <w:t>a) h</w:t>
      </w:r>
      <w:r>
        <w:rPr>
          <w:rFonts w:ascii="Century Gothic" w:hAnsi="Century Gothic" w:cs="Arial"/>
          <w:sz w:val="22"/>
          <w:szCs w:val="22"/>
          <w:lang w:val="es-ES"/>
        </w:rPr>
        <w:t xml:space="preserve">asta la </w:t>
      </w:r>
      <w:r>
        <w:rPr>
          <w:rFonts w:ascii="Century Gothic" w:hAnsi="Century Gothic" w:cs="Arial"/>
          <w:iCs/>
          <w:sz w:val="22"/>
          <w:szCs w:val="22"/>
          <w:lang w:val="es-ES"/>
        </w:rPr>
        <w:t>h);</w:t>
      </w:r>
    </w:p>
    <w:p w14:paraId="595DD277">
      <w:pPr>
        <w:numPr>
          <w:ilvl w:val="0"/>
          <w:numId w:val="25"/>
        </w:numPr>
        <w:rPr>
          <w:rFonts w:ascii="Century Gothic" w:hAnsi="Century Gothic" w:cs="Arial"/>
          <w:sz w:val="22"/>
          <w:szCs w:val="22"/>
          <w:lang w:val="es-ES"/>
        </w:rPr>
      </w:pPr>
      <w:r>
        <w:rPr>
          <w:rFonts w:ascii="Century Gothic" w:hAnsi="Century Gothic" w:cs="Arial"/>
          <w:sz w:val="22"/>
          <w:szCs w:val="22"/>
          <w:lang w:val="es-ES"/>
        </w:rPr>
        <w:t>Dirección de un grupo terrorista;</w:t>
      </w:r>
    </w:p>
    <w:p w14:paraId="7F601337">
      <w:pPr>
        <w:numPr>
          <w:ilvl w:val="0"/>
          <w:numId w:val="25"/>
        </w:numPr>
        <w:rPr>
          <w:rFonts w:ascii="Century Gothic" w:hAnsi="Century Gothic" w:cs="Arial"/>
          <w:sz w:val="22"/>
          <w:szCs w:val="22"/>
          <w:lang w:val="es-ES"/>
        </w:rPr>
      </w:pPr>
      <w:r>
        <w:rPr>
          <w:rFonts w:ascii="Century Gothic" w:hAnsi="Century Gothic" w:cs="Arial"/>
          <w:sz w:val="22"/>
          <w:szCs w:val="22"/>
          <w:lang w:val="es-ES"/>
        </w:rPr>
        <w:t xml:space="preserve">Participación en las actividades de un grupo terrorista, incluido el suministro de información o medios materiales, o mediante cualquier forma de financiación de sus actividades, con conocimiento de que esa participación contribuirá a las actividades delictivas del grupo. </w:t>
      </w:r>
    </w:p>
    <w:p w14:paraId="23CE2C14">
      <w:pPr>
        <w:rPr>
          <w:rFonts w:ascii="Century Gothic" w:hAnsi="Century Gothic" w:cs="Arial"/>
          <w:sz w:val="22"/>
          <w:szCs w:val="22"/>
          <w:lang w:val="es-ES"/>
        </w:rPr>
      </w:pPr>
    </w:p>
    <w:p w14:paraId="377DC1ED">
      <w:pPr>
        <w:pStyle w:val="91"/>
        <w:numPr>
          <w:ilvl w:val="0"/>
          <w:numId w:val="24"/>
        </w:numPr>
        <w:spacing w:before="220" w:after="100"/>
        <w:rPr>
          <w:rFonts w:ascii="Century Gothic" w:hAnsi="Century Gothic" w:cs="ITC Franklin Gothic Std Book"/>
          <w:b/>
          <w:bCs/>
          <w:color w:val="000000"/>
          <w:sz w:val="22"/>
          <w:szCs w:val="22"/>
        </w:rPr>
      </w:pPr>
      <w:r>
        <w:rPr>
          <w:rFonts w:ascii="Century Gothic" w:hAnsi="Century Gothic" w:cs="ITC Franklin Gothic Std Book"/>
          <w:b/>
          <w:bCs/>
          <w:color w:val="000000"/>
          <w:sz w:val="22"/>
          <w:szCs w:val="22"/>
        </w:rPr>
        <w:t xml:space="preserve">Etapas de la Financiación del Terrorismo </w:t>
      </w:r>
    </w:p>
    <w:p w14:paraId="6E855F96">
      <w:pPr>
        <w:pStyle w:val="86"/>
      </w:pPr>
    </w:p>
    <w:p w14:paraId="7DD5F08A">
      <w:pPr>
        <w:pStyle w:val="92"/>
        <w:spacing w:after="160"/>
        <w:jc w:val="both"/>
        <w:rPr>
          <w:rFonts w:ascii="Century Gothic" w:hAnsi="Century Gothic" w:cs="ITC Franklin Gothic Std Book"/>
          <w:color w:val="000000"/>
          <w:sz w:val="22"/>
          <w:szCs w:val="22"/>
        </w:rPr>
      </w:pPr>
      <w:r>
        <w:rPr>
          <w:rFonts w:ascii="Century Gothic" w:hAnsi="Century Gothic" w:cs="ITC Franklin Gothic Std Book"/>
          <w:color w:val="000000"/>
          <w:sz w:val="22"/>
          <w:szCs w:val="22"/>
        </w:rPr>
        <w:t>El proceso de financiación del terrorismo que se realiza con bienes, recursos o ac</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 xml:space="preserve">tivos de procedencia </w:t>
      </w:r>
      <w:r>
        <w:rPr>
          <w:rFonts w:ascii="Century Gothic" w:hAnsi="Century Gothic" w:cs="ITC Franklin Gothic Std Book"/>
          <w:b/>
          <w:color w:val="000000"/>
          <w:sz w:val="22"/>
          <w:szCs w:val="22"/>
        </w:rPr>
        <w:t>lícita o ilícita</w:t>
      </w:r>
      <w:r>
        <w:rPr>
          <w:rFonts w:ascii="Century Gothic" w:hAnsi="Century Gothic" w:cs="ITC Franklin Gothic Std Book"/>
          <w:color w:val="000000"/>
          <w:sz w:val="22"/>
          <w:szCs w:val="22"/>
        </w:rPr>
        <w:t>, supone la ejecución de algunas etapas simila</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 xml:space="preserve">res a las del lavado de activos, así: </w:t>
      </w:r>
    </w:p>
    <w:p w14:paraId="1379E8AE">
      <w:pPr>
        <w:pStyle w:val="86"/>
      </w:pPr>
    </w:p>
    <w:p w14:paraId="46E00924">
      <w:pPr>
        <w:pStyle w:val="86"/>
      </w:pPr>
      <w:r>
        <w:rPr>
          <w:lang w:eastAsia="es-CO"/>
        </w:rPr>
        <mc:AlternateContent>
          <mc:Choice Requires="wpg">
            <w:drawing>
              <wp:anchor distT="0" distB="0" distL="114300" distR="114300" simplePos="0" relativeHeight="251660288" behindDoc="0" locked="0" layoutInCell="1" allowOverlap="1">
                <wp:simplePos x="0" y="0"/>
                <wp:positionH relativeFrom="column">
                  <wp:posOffset>17145</wp:posOffset>
                </wp:positionH>
                <wp:positionV relativeFrom="paragraph">
                  <wp:posOffset>14605</wp:posOffset>
                </wp:positionV>
                <wp:extent cx="5572125" cy="2851785"/>
                <wp:effectExtent l="0" t="19050" r="28575" b="43815"/>
                <wp:wrapNone/>
                <wp:docPr id="60" name="Grupo 60"/>
                <wp:cNvGraphicFramePr/>
                <a:graphic xmlns:a="http://schemas.openxmlformats.org/drawingml/2006/main">
                  <a:graphicData uri="http://schemas.microsoft.com/office/word/2010/wordprocessingGroup">
                    <wpg:wgp>
                      <wpg:cNvGrpSpPr/>
                      <wpg:grpSpPr>
                        <a:xfrm>
                          <a:off x="0" y="0"/>
                          <a:ext cx="5572125" cy="2851785"/>
                          <a:chOff x="0" y="0"/>
                          <a:chExt cx="5572429" cy="2852043"/>
                        </a:xfrm>
                      </wpg:grpSpPr>
                      <wps:wsp>
                        <wps:cNvPr id="52" name="Flecha derecha 52"/>
                        <wps:cNvSpPr/>
                        <wps:spPr>
                          <a:xfrm>
                            <a:off x="0" y="0"/>
                            <a:ext cx="1535322" cy="577970"/>
                          </a:xfrm>
                          <a:prstGeom prst="rightArrow">
                            <a:avLst/>
                          </a:prstGeom>
                        </wps:spPr>
                        <wps:style>
                          <a:lnRef idx="1">
                            <a:schemeClr val="accent6"/>
                          </a:lnRef>
                          <a:fillRef idx="3">
                            <a:schemeClr val="accent6"/>
                          </a:fillRef>
                          <a:effectRef idx="2">
                            <a:schemeClr val="accent6"/>
                          </a:effectRef>
                          <a:fontRef idx="minor">
                            <a:schemeClr val="lt1"/>
                          </a:fontRef>
                        </wps:style>
                        <wps:txbx>
                          <w:txbxContent>
                            <w:p w14:paraId="1B544074">
                              <w:pPr>
                                <w:rPr>
                                  <w:sz w:val="18"/>
                                  <w:szCs w:val="18"/>
                                </w:rPr>
                              </w:pPr>
                              <w:r>
                                <w:rPr>
                                  <w:rFonts w:ascii="Century Gothic" w:hAnsi="Century Gothic"/>
                                  <w:b/>
                                  <w:bCs/>
                                  <w:sz w:val="18"/>
                                  <w:szCs w:val="18"/>
                                </w:rPr>
                                <w:t>1. Obtención</w:t>
                              </w:r>
                            </w:p>
                            <w:p w14:paraId="0A397444">
                              <w:pPr>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4" name="Flecha derecha 54"/>
                        <wps:cNvSpPr/>
                        <wps:spPr>
                          <a:xfrm>
                            <a:off x="47708" y="771276"/>
                            <a:ext cx="1552683" cy="577970"/>
                          </a:xfrm>
                          <a:prstGeom prst="rightArrow">
                            <a:avLst/>
                          </a:prstGeom>
                        </wps:spPr>
                        <wps:style>
                          <a:lnRef idx="1">
                            <a:schemeClr val="accent6"/>
                          </a:lnRef>
                          <a:fillRef idx="3">
                            <a:schemeClr val="accent6"/>
                          </a:fillRef>
                          <a:effectRef idx="2">
                            <a:schemeClr val="accent6"/>
                          </a:effectRef>
                          <a:fontRef idx="minor">
                            <a:schemeClr val="lt1"/>
                          </a:fontRef>
                        </wps:style>
                        <wps:txbx>
                          <w:txbxContent>
                            <w:p w14:paraId="566F9935">
                              <w:pPr>
                                <w:pStyle w:val="39"/>
                                <w:rPr>
                                  <w:sz w:val="18"/>
                                  <w:szCs w:val="18"/>
                                </w:rPr>
                              </w:pPr>
                              <w:r>
                                <w:rPr>
                                  <w:rFonts w:ascii="Century Gothic" w:hAnsi="Century Gothic"/>
                                  <w:b/>
                                  <w:bCs/>
                                  <w:sz w:val="18"/>
                                  <w:szCs w:val="18"/>
                                </w:rPr>
                                <w:t>2. Colocación</w:t>
                              </w:r>
                            </w:p>
                            <w:p w14:paraId="12557A9F">
                              <w:pPr>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6" name="Flecha derecha 56"/>
                        <wps:cNvSpPr/>
                        <wps:spPr>
                          <a:xfrm>
                            <a:off x="0" y="1518699"/>
                            <a:ext cx="1535502" cy="577970"/>
                          </a:xfrm>
                          <a:prstGeom prst="rightArrow">
                            <a:avLst/>
                          </a:prstGeom>
                        </wps:spPr>
                        <wps:style>
                          <a:lnRef idx="1">
                            <a:schemeClr val="accent6"/>
                          </a:lnRef>
                          <a:fillRef idx="3">
                            <a:schemeClr val="accent6"/>
                          </a:fillRef>
                          <a:effectRef idx="2">
                            <a:schemeClr val="accent6"/>
                          </a:effectRef>
                          <a:fontRef idx="minor">
                            <a:schemeClr val="lt1"/>
                          </a:fontRef>
                        </wps:style>
                        <wps:txbx>
                          <w:txbxContent>
                            <w:p w14:paraId="6A152503">
                              <w:pPr>
                                <w:pStyle w:val="39"/>
                                <w:rPr>
                                  <w:sz w:val="18"/>
                                  <w:szCs w:val="18"/>
                                </w:rPr>
                              </w:pPr>
                              <w:r>
                                <w:rPr>
                                  <w:rFonts w:ascii="Century Gothic" w:hAnsi="Century Gothic"/>
                                  <w:b/>
                                  <w:bCs/>
                                  <w:sz w:val="18"/>
                                  <w:szCs w:val="18"/>
                                </w:rPr>
                                <w:t>3. Estratificación</w:t>
                              </w:r>
                            </w:p>
                            <w:p w14:paraId="4839C3EC">
                              <w:pPr>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Proceso alternativo 51"/>
                        <wps:cNvSpPr/>
                        <wps:spPr>
                          <a:xfrm>
                            <a:off x="1789043" y="0"/>
                            <a:ext cx="3751580" cy="453225"/>
                          </a:xfrm>
                          <a:prstGeom prst="flowChartAlternateProcess">
                            <a:avLst/>
                          </a:prstGeom>
                        </wps:spPr>
                        <wps:style>
                          <a:lnRef idx="2">
                            <a:schemeClr val="accent6"/>
                          </a:lnRef>
                          <a:fillRef idx="1">
                            <a:schemeClr val="lt1"/>
                          </a:fillRef>
                          <a:effectRef idx="0">
                            <a:schemeClr val="accent6"/>
                          </a:effectRef>
                          <a:fontRef idx="minor">
                            <a:schemeClr val="dk1"/>
                          </a:fontRef>
                        </wps:style>
                        <wps:txbx>
                          <w:txbxContent>
                            <w:p w14:paraId="7CF679FE">
                              <w:pPr>
                                <w:rPr>
                                  <w:sz w:val="18"/>
                                  <w:szCs w:val="18"/>
                                </w:rPr>
                              </w:pPr>
                              <w:r>
                                <w:rPr>
                                  <w:rFonts w:ascii="Century Gothic" w:hAnsi="Century Gothic"/>
                                  <w:sz w:val="18"/>
                                  <w:szCs w:val="18"/>
                                </w:rPr>
                                <w:t>Es la recolección de fondos de origen legal o ilegal con el fin de apoyar las actividades terroristas.</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3" name="Proceso alternativo 53"/>
                        <wps:cNvSpPr/>
                        <wps:spPr>
                          <a:xfrm>
                            <a:off x="1820849" y="699714"/>
                            <a:ext cx="3719774" cy="588010"/>
                          </a:xfrm>
                          <a:prstGeom prst="flowChartAlternateProcess">
                            <a:avLst/>
                          </a:prstGeom>
                        </wps:spPr>
                        <wps:style>
                          <a:lnRef idx="2">
                            <a:schemeClr val="accent6"/>
                          </a:lnRef>
                          <a:fillRef idx="1">
                            <a:schemeClr val="lt1"/>
                          </a:fillRef>
                          <a:effectRef idx="0">
                            <a:schemeClr val="accent6"/>
                          </a:effectRef>
                          <a:fontRef idx="minor">
                            <a:schemeClr val="dk1"/>
                          </a:fontRef>
                        </wps:style>
                        <wps:txbx>
                          <w:txbxContent>
                            <w:p w14:paraId="69E94D77">
                              <w:pPr>
                                <w:pStyle w:val="86"/>
                                <w:jc w:val="both"/>
                                <w:rPr>
                                  <w:rFonts w:ascii="Century Gothic" w:hAnsi="Century Gothic"/>
                                  <w:sz w:val="18"/>
                                  <w:szCs w:val="18"/>
                                </w:rPr>
                              </w:pPr>
                              <w:r>
                                <w:rPr>
                                  <w:rFonts w:ascii="Century Gothic" w:hAnsi="Century Gothic"/>
                                  <w:sz w:val="18"/>
                                  <w:szCs w:val="18"/>
                                </w:rPr>
                                <w:t>Es la actividad de poner los recursos legales o ilegales en algún sistema formal o informal con el fin de encubrir el destino o uso para fines te</w:t>
                              </w:r>
                              <w:r>
                                <w:rPr>
                                  <w:rFonts w:ascii="Century Gothic" w:hAnsi="Century Gothic"/>
                                  <w:sz w:val="18"/>
                                  <w:szCs w:val="18"/>
                                </w:rPr>
                                <w:softHyphen/>
                              </w:r>
                              <w:r>
                                <w:rPr>
                                  <w:rFonts w:ascii="Century Gothic" w:hAnsi="Century Gothic"/>
                                  <w:sz w:val="18"/>
                                  <w:szCs w:val="18"/>
                                </w:rPr>
                                <w:t xml:space="preserve">rroristas o para una organización terrorista. </w:t>
                              </w:r>
                            </w:p>
                            <w:p w14:paraId="364DC49E">
                              <w:pP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5" name="Proceso alternativo 55"/>
                        <wps:cNvSpPr/>
                        <wps:spPr>
                          <a:xfrm>
                            <a:off x="1789043" y="1566407"/>
                            <a:ext cx="3751580" cy="461175"/>
                          </a:xfrm>
                          <a:prstGeom prst="flowChartAlternateProcess">
                            <a:avLst/>
                          </a:prstGeom>
                        </wps:spPr>
                        <wps:style>
                          <a:lnRef idx="2">
                            <a:schemeClr val="accent6"/>
                          </a:lnRef>
                          <a:fillRef idx="1">
                            <a:schemeClr val="lt1"/>
                          </a:fillRef>
                          <a:effectRef idx="0">
                            <a:schemeClr val="accent6"/>
                          </a:effectRef>
                          <a:fontRef idx="minor">
                            <a:schemeClr val="dk1"/>
                          </a:fontRef>
                        </wps:style>
                        <wps:txbx>
                          <w:txbxContent>
                            <w:p w14:paraId="2C1C655A">
                              <w:pPr>
                                <w:rPr>
                                  <w:sz w:val="18"/>
                                  <w:szCs w:val="18"/>
                                </w:rPr>
                              </w:pPr>
                              <w:r>
                                <w:rPr>
                                  <w:rFonts w:ascii="Century Gothic" w:hAnsi="Century Gothic"/>
                                  <w:sz w:val="18"/>
                                  <w:szCs w:val="18"/>
                                </w:rPr>
                                <w:t>Es la mezcla de los bienes, recursos o activos de procedencia ilícita o lícita mediante diversas transacciones financieras.</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7" name="Proceso alternativo 57"/>
                        <wps:cNvSpPr/>
                        <wps:spPr>
                          <a:xfrm>
                            <a:off x="1820849" y="2258170"/>
                            <a:ext cx="3751580" cy="564543"/>
                          </a:xfrm>
                          <a:prstGeom prst="flowChartAlternateProcess">
                            <a:avLst/>
                          </a:prstGeom>
                        </wps:spPr>
                        <wps:style>
                          <a:lnRef idx="2">
                            <a:schemeClr val="accent6"/>
                          </a:lnRef>
                          <a:fillRef idx="1">
                            <a:schemeClr val="lt1"/>
                          </a:fillRef>
                          <a:effectRef idx="0">
                            <a:schemeClr val="accent6"/>
                          </a:effectRef>
                          <a:fontRef idx="minor">
                            <a:schemeClr val="dk1"/>
                          </a:fontRef>
                        </wps:style>
                        <wps:txbx>
                          <w:txbxContent>
                            <w:p w14:paraId="4CFA4AFB">
                              <w:r>
                                <w:rPr>
                                  <w:rFonts w:ascii="Century Gothic" w:hAnsi="Century Gothic"/>
                                  <w:sz w:val="18"/>
                                  <w:szCs w:val="18"/>
                                </w:rPr>
                                <w:t>Es la forma de usar los fondos y/o disfrutar de los bienes, recur</w:t>
                              </w:r>
                              <w:r>
                                <w:rPr>
                                  <w:rFonts w:ascii="Century Gothic" w:hAnsi="Century Gothic"/>
                                  <w:sz w:val="18"/>
                                  <w:szCs w:val="18"/>
                                </w:rPr>
                                <w:softHyphen/>
                              </w:r>
                              <w:r>
                                <w:rPr>
                                  <w:rFonts w:ascii="Century Gothic" w:hAnsi="Century Gothic"/>
                                  <w:sz w:val="18"/>
                                  <w:szCs w:val="18"/>
                                </w:rPr>
                                <w:t>sos o activos con la apariencia de legalidad y ocultando su destino con fines terroristas o para apoyar organizaciones terroristas.</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8" name="Flecha derecha 58"/>
                        <wps:cNvSpPr/>
                        <wps:spPr>
                          <a:xfrm>
                            <a:off x="0" y="2274073"/>
                            <a:ext cx="1534795" cy="577970"/>
                          </a:xfrm>
                          <a:prstGeom prst="rightArrow">
                            <a:avLst/>
                          </a:prstGeom>
                        </wps:spPr>
                        <wps:style>
                          <a:lnRef idx="1">
                            <a:schemeClr val="accent6"/>
                          </a:lnRef>
                          <a:fillRef idx="3">
                            <a:schemeClr val="accent6"/>
                          </a:fillRef>
                          <a:effectRef idx="2">
                            <a:schemeClr val="accent6"/>
                          </a:effectRef>
                          <a:fontRef idx="minor">
                            <a:schemeClr val="lt1"/>
                          </a:fontRef>
                        </wps:style>
                        <wps:txbx>
                          <w:txbxContent>
                            <w:p w14:paraId="69330CD9">
                              <w:pPr>
                                <w:pStyle w:val="39"/>
                                <w:rPr>
                                  <w:sz w:val="18"/>
                                  <w:szCs w:val="18"/>
                                </w:rPr>
                              </w:pPr>
                              <w:r>
                                <w:rPr>
                                  <w:rFonts w:ascii="Century Gothic" w:hAnsi="Century Gothic"/>
                                  <w:b/>
                                  <w:bCs/>
                                  <w:sz w:val="18"/>
                                  <w:szCs w:val="18"/>
                                </w:rPr>
                                <w:t>4. Integración</w:t>
                              </w:r>
                            </w:p>
                            <w:p w14:paraId="6680E095">
                              <w:pPr>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35pt;margin-top:1.15pt;height:224.55pt;width:438.75pt;z-index:251660288;mso-width-relative:page;mso-height-relative:page;" coordsize="5572429,2852043" o:gfxdata="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">
                <o:lock v:ext="edit" aspectratio="f"/>
                <v:shape id="_x0000_s1026" o:spid="_x0000_s1026" o:spt="13" type="#_x0000_t13" style="position:absolute;left:0;top:0;height:577970;width:1535322;v-text-anchor:middle;" fillcolor="#81B861 [3280]" filled="t" stroked="t" coordsize="21600,21600" o:gfxdata="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NvSXvQAA&#10;ANsAAAAPAAAAAAAAAAEAIAAAACIAAABkcnMvZG93bnJldi54bWxQSwECFAAUAAAACACHTuJAMy8F&#10;njsAAAA5AAAAEAAAAAAAAAABACAAAAAMAQAAZHJzL3NoYXBleG1sLnhtbFBLBQYAAAAABgAGAFsB&#10;AAC2AwAAAAA=&#10;" adj="17535,5400">
                  <v:fill type="gradient" on="t" color2="#61A235 [3184]" colors="0f #81B861;32768f #6FB242;65536f #61A235" focus="100%" focussize="0,0" rotate="t">
                    <o:fill type="gradientUnscaled" v:ext="backwardCompatible"/>
                  </v:fill>
                  <v:stroke weight="0.5pt" color="#70AD47 [3209]" miterlimit="8" joinstyle="miter"/>
                  <v:imagedata o:title=""/>
                  <o:lock v:ext="edit" aspectratio="f"/>
                  <v:textbox>
                    <w:txbxContent>
                      <w:p w14:paraId="1B544074">
                        <w:pPr>
                          <w:rPr>
                            <w:sz w:val="18"/>
                            <w:szCs w:val="18"/>
                          </w:rPr>
                        </w:pPr>
                        <w:r>
                          <w:rPr>
                            <w:rFonts w:ascii="Century Gothic" w:hAnsi="Century Gothic"/>
                            <w:b/>
                            <w:bCs/>
                            <w:sz w:val="18"/>
                            <w:szCs w:val="18"/>
                          </w:rPr>
                          <w:t>1. Obtención</w:t>
                        </w:r>
                      </w:p>
                      <w:p w14:paraId="0A397444">
                        <w:pPr>
                          <w:jc w:val="center"/>
                          <w:rPr>
                            <w:sz w:val="18"/>
                            <w:szCs w:val="18"/>
                          </w:rPr>
                        </w:pPr>
                      </w:p>
                    </w:txbxContent>
                  </v:textbox>
                </v:shape>
                <v:shape id="_x0000_s1026" o:spid="_x0000_s1026" o:spt="13" type="#_x0000_t13" style="position:absolute;left:47708;top:771276;height:577970;width:1552683;v-text-anchor:middle;" fillcolor="#81B861 [3280]" filled="t" stroked="t" coordsize="21600,21600" o:gfxdata="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VSrGvQAA&#10;ANsAAAAPAAAAAAAAAAEAIAAAACIAAABkcnMvZG93bnJldi54bWxQSwECFAAUAAAACACHTuJAMy8F&#10;njsAAAA5AAAAEAAAAAAAAAABACAAAAAMAQAAZHJzL3NoYXBleG1sLnhtbFBLBQYAAAAABgAGAFsB&#10;AAC2AwAAAAA=&#10;" adj="17580,5400">
                  <v:fill type="gradient" on="t" color2="#61A235 [3184]" colors="0f #81B861;32768f #6FB242;65536f #61A235" focus="100%" focussize="0,0" rotate="t">
                    <o:fill type="gradientUnscaled" v:ext="backwardCompatible"/>
                  </v:fill>
                  <v:stroke weight="0.5pt" color="#70AD47 [3209]" miterlimit="8" joinstyle="miter"/>
                  <v:imagedata o:title=""/>
                  <o:lock v:ext="edit" aspectratio="f"/>
                  <v:textbox>
                    <w:txbxContent>
                      <w:p w14:paraId="566F9935">
                        <w:pPr>
                          <w:pStyle w:val="39"/>
                          <w:rPr>
                            <w:sz w:val="18"/>
                            <w:szCs w:val="18"/>
                          </w:rPr>
                        </w:pPr>
                        <w:r>
                          <w:rPr>
                            <w:rFonts w:ascii="Century Gothic" w:hAnsi="Century Gothic"/>
                            <w:b/>
                            <w:bCs/>
                            <w:sz w:val="18"/>
                            <w:szCs w:val="18"/>
                          </w:rPr>
                          <w:t>2. Colocación</w:t>
                        </w:r>
                      </w:p>
                      <w:p w14:paraId="12557A9F">
                        <w:pPr>
                          <w:jc w:val="center"/>
                          <w:rPr>
                            <w:sz w:val="18"/>
                            <w:szCs w:val="18"/>
                          </w:rPr>
                        </w:pPr>
                      </w:p>
                    </w:txbxContent>
                  </v:textbox>
                </v:shape>
                <v:shape id="_x0000_s1026" o:spid="_x0000_s1026" o:spt="13" type="#_x0000_t13" style="position:absolute;left:0;top:1518699;height:577970;width:1535502;v-text-anchor:middle;" fillcolor="#81B861 [3280]" filled="t" stroked="t" coordsize="21600,21600" o:gfxdata="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UN8pS8AAAA&#10;2wAAAA8AAAAAAAAAAQAgAAAAIgAAAGRycy9kb3ducmV2LnhtbFBLAQIUABQAAAAIAIdO4kAzLwWe&#10;OwAAADkAAAAQAAAAAAAAAAEAIAAAAAsBAABkcnMvc2hhcGV4bWwueG1sUEsFBgAAAAAGAAYAWwEA&#10;ALUDAAAAAA==&#10;" adj="17535,5400">
                  <v:fill type="gradient" on="t" color2="#61A235 [3184]" colors="0f #81B861;32768f #6FB242;65536f #61A235" focus="100%" focussize="0,0" rotate="t">
                    <o:fill type="gradientUnscaled" v:ext="backwardCompatible"/>
                  </v:fill>
                  <v:stroke weight="0.5pt" color="#70AD47 [3209]" miterlimit="8" joinstyle="miter"/>
                  <v:imagedata o:title=""/>
                  <o:lock v:ext="edit" aspectratio="f"/>
                  <v:textbox>
                    <w:txbxContent>
                      <w:p w14:paraId="6A152503">
                        <w:pPr>
                          <w:pStyle w:val="39"/>
                          <w:rPr>
                            <w:sz w:val="18"/>
                            <w:szCs w:val="18"/>
                          </w:rPr>
                        </w:pPr>
                        <w:r>
                          <w:rPr>
                            <w:rFonts w:ascii="Century Gothic" w:hAnsi="Century Gothic"/>
                            <w:b/>
                            <w:bCs/>
                            <w:sz w:val="18"/>
                            <w:szCs w:val="18"/>
                          </w:rPr>
                          <w:t>3. Estratificación</w:t>
                        </w:r>
                      </w:p>
                      <w:p w14:paraId="4839C3EC">
                        <w:pPr>
                          <w:jc w:val="center"/>
                          <w:rPr>
                            <w:sz w:val="18"/>
                            <w:szCs w:val="18"/>
                          </w:rPr>
                        </w:pPr>
                      </w:p>
                    </w:txbxContent>
                  </v:textbox>
                </v:shape>
                <v:shape id="_x0000_s1026" o:spid="_x0000_s1026" o:spt="176" type="#_x0000_t176" style="position:absolute;left:1789043;top:0;height:453225;width:3751580;v-text-anchor:middle;" fillcolor="#FFFFFF [3201]" filled="t" stroked="t" coordsize="21600,21600" o:gfxdata="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qQVr4A&#10;AADbAAAADwAAAAAAAAABACAAAAAiAAAAZHJzL2Rvd25yZXYueG1sUEsBAhQAFAAAAAgAh07iQDMv&#10;BZ47AAAAOQAAABAAAAAAAAAAAQAgAAAADQEAAGRycy9zaGFwZXhtbC54bWxQSwUGAAAAAAYABgBb&#10;AQAAtwMAAAAA&#10;">
                  <v:fill on="t" focussize="0,0"/>
                  <v:stroke weight="1pt" color="#70AD47 [3209]" miterlimit="8" joinstyle="miter"/>
                  <v:imagedata o:title=""/>
                  <o:lock v:ext="edit" aspectratio="f"/>
                  <v:textbox>
                    <w:txbxContent>
                      <w:p w14:paraId="7CF679FE">
                        <w:pPr>
                          <w:rPr>
                            <w:sz w:val="18"/>
                            <w:szCs w:val="18"/>
                          </w:rPr>
                        </w:pPr>
                        <w:r>
                          <w:rPr>
                            <w:rFonts w:ascii="Century Gothic" w:hAnsi="Century Gothic"/>
                            <w:sz w:val="18"/>
                            <w:szCs w:val="18"/>
                          </w:rPr>
                          <w:t>Es la recolección de fondos de origen legal o ilegal con el fin de apoyar las actividades terroristas.</w:t>
                        </w:r>
                      </w:p>
                    </w:txbxContent>
                  </v:textbox>
                </v:shape>
                <v:shape id="_x0000_s1026" o:spid="_x0000_s1026" o:spt="176" type="#_x0000_t176" style="position:absolute;left:1820849;top:699714;height:588010;width:3719774;v-text-anchor:middle;" fillcolor="#FFFFFF [3201]" filled="t" stroked="t" coordsize="21600,21600" o:gfxdata="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USrur4A&#10;AADbAAAADwAAAAAAAAABACAAAAAiAAAAZHJzL2Rvd25yZXYueG1sUEsBAhQAFAAAAAgAh07iQDMv&#10;BZ47AAAAOQAAABAAAAAAAAAAAQAgAAAADQEAAGRycy9zaGFwZXhtbC54bWxQSwUGAAAAAAYABgBb&#10;AQAAtwMAAAAA&#10;">
                  <v:fill on="t" focussize="0,0"/>
                  <v:stroke weight="1pt" color="#70AD47 [3209]" miterlimit="8" joinstyle="miter"/>
                  <v:imagedata o:title=""/>
                  <o:lock v:ext="edit" aspectratio="f"/>
                  <v:textbox>
                    <w:txbxContent>
                      <w:p w14:paraId="69E94D77">
                        <w:pPr>
                          <w:pStyle w:val="86"/>
                          <w:jc w:val="both"/>
                          <w:rPr>
                            <w:rFonts w:ascii="Century Gothic" w:hAnsi="Century Gothic"/>
                            <w:sz w:val="18"/>
                            <w:szCs w:val="18"/>
                          </w:rPr>
                        </w:pPr>
                        <w:r>
                          <w:rPr>
                            <w:rFonts w:ascii="Century Gothic" w:hAnsi="Century Gothic"/>
                            <w:sz w:val="18"/>
                            <w:szCs w:val="18"/>
                          </w:rPr>
                          <w:t>Es la actividad de poner los recursos legales o ilegales en algún sistema formal o informal con el fin de encubrir el destino o uso para fines te</w:t>
                        </w:r>
                        <w:r>
                          <w:rPr>
                            <w:rFonts w:ascii="Century Gothic" w:hAnsi="Century Gothic"/>
                            <w:sz w:val="18"/>
                            <w:szCs w:val="18"/>
                          </w:rPr>
                          <w:softHyphen/>
                        </w:r>
                        <w:r>
                          <w:rPr>
                            <w:rFonts w:ascii="Century Gothic" w:hAnsi="Century Gothic"/>
                            <w:sz w:val="18"/>
                            <w:szCs w:val="18"/>
                          </w:rPr>
                          <w:t xml:space="preserve">rroristas o para una organización terrorista. </w:t>
                        </w:r>
                      </w:p>
                      <w:p w14:paraId="364DC49E">
                        <w:pPr>
                          <w:rPr>
                            <w:sz w:val="18"/>
                            <w:szCs w:val="18"/>
                          </w:rPr>
                        </w:pPr>
                      </w:p>
                    </w:txbxContent>
                  </v:textbox>
                </v:shape>
                <v:shape id="_x0000_s1026" o:spid="_x0000_s1026" o:spt="176" type="#_x0000_t176" style="position:absolute;left:1789043;top:1566407;height:461175;width:3751580;v-text-anchor:middle;" fillcolor="#FFFFFF [3201]" filled="t" stroked="t" coordsize="21600,21600" o:gfxdata="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eGWVb4A&#10;AADbAAAADwAAAAAAAAABACAAAAAiAAAAZHJzL2Rvd25yZXYueG1sUEsBAhQAFAAAAAgAh07iQDMv&#10;BZ47AAAAOQAAABAAAAAAAAAAAQAgAAAADQEAAGRycy9zaGFwZXhtbC54bWxQSwUGAAAAAAYABgBb&#10;AQAAtwMAAAAA&#10;">
                  <v:fill on="t" focussize="0,0"/>
                  <v:stroke weight="1pt" color="#70AD47 [3209]" miterlimit="8" joinstyle="miter"/>
                  <v:imagedata o:title=""/>
                  <o:lock v:ext="edit" aspectratio="f"/>
                  <v:textbox>
                    <w:txbxContent>
                      <w:p w14:paraId="2C1C655A">
                        <w:pPr>
                          <w:rPr>
                            <w:sz w:val="18"/>
                            <w:szCs w:val="18"/>
                          </w:rPr>
                        </w:pPr>
                        <w:r>
                          <w:rPr>
                            <w:rFonts w:ascii="Century Gothic" w:hAnsi="Century Gothic"/>
                            <w:sz w:val="18"/>
                            <w:szCs w:val="18"/>
                          </w:rPr>
                          <w:t>Es la mezcla de los bienes, recursos o activos de procedencia ilícita o lícita mediante diversas transacciones financieras.</w:t>
                        </w:r>
                      </w:p>
                    </w:txbxContent>
                  </v:textbox>
                </v:shape>
                <v:shape id="_x0000_s1026" o:spid="_x0000_s1026" o:spt="176" type="#_x0000_t176" style="position:absolute;left:1820849;top:2258170;height:564543;width:3751580;v-text-anchor:middle;" fillcolor="#FFFFFF [3201]" filled="t" stroked="t" coordsize="21600,21600" o:gfxdata="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n+tub4A&#10;AADbAAAADwAAAAAAAAABACAAAAAiAAAAZHJzL2Rvd25yZXYueG1sUEsBAhQAFAAAAAgAh07iQDMv&#10;BZ47AAAAOQAAABAAAAAAAAAAAQAgAAAADQEAAGRycy9zaGFwZXhtbC54bWxQSwUGAAAAAAYABgBb&#10;AQAAtwMAAAAA&#10;">
                  <v:fill on="t" focussize="0,0"/>
                  <v:stroke weight="1pt" color="#70AD47 [3209]" miterlimit="8" joinstyle="miter"/>
                  <v:imagedata o:title=""/>
                  <o:lock v:ext="edit" aspectratio="f"/>
                  <v:textbox>
                    <w:txbxContent>
                      <w:p w14:paraId="4CFA4AFB">
                        <w:r>
                          <w:rPr>
                            <w:rFonts w:ascii="Century Gothic" w:hAnsi="Century Gothic"/>
                            <w:sz w:val="18"/>
                            <w:szCs w:val="18"/>
                          </w:rPr>
                          <w:t>Es la forma de usar los fondos y/o disfrutar de los bienes, recur</w:t>
                        </w:r>
                        <w:r>
                          <w:rPr>
                            <w:rFonts w:ascii="Century Gothic" w:hAnsi="Century Gothic"/>
                            <w:sz w:val="18"/>
                            <w:szCs w:val="18"/>
                          </w:rPr>
                          <w:softHyphen/>
                        </w:r>
                        <w:r>
                          <w:rPr>
                            <w:rFonts w:ascii="Century Gothic" w:hAnsi="Century Gothic"/>
                            <w:sz w:val="18"/>
                            <w:szCs w:val="18"/>
                          </w:rPr>
                          <w:t>sos o activos con la apariencia de legalidad y ocultando su destino con fines terroristas o para apoyar organizaciones terroristas.</w:t>
                        </w:r>
                      </w:p>
                    </w:txbxContent>
                  </v:textbox>
                </v:shape>
                <v:shape id="_x0000_s1026" o:spid="_x0000_s1026" o:spt="13" type="#_x0000_t13" style="position:absolute;left:0;top:2274073;height:577970;width:1534795;v-text-anchor:middle;" fillcolor="#81B861 [3280]" filled="t" stroked="t" coordsize="21600,21600" o:gfxdata="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PNkBLsAAADb&#10;AAAADwAAAAAAAAABACAAAAAiAAAAZHJzL2Rvd25yZXYueG1sUEsBAhQAFAAAAAgAh07iQDMvBZ47&#10;AAAAOQAAABAAAAAAAAAAAQAgAAAACgEAAGRycy9zaGFwZXhtbC54bWxQSwUGAAAAAAYABgBbAQAA&#10;tAMAAAAA&#10;" adj="17533,5400">
                  <v:fill type="gradient" on="t" color2="#61A235 [3184]" colors="0f #81B861;32768f #6FB242;65536f #61A235" focus="100%" focussize="0,0" rotate="t">
                    <o:fill type="gradientUnscaled" v:ext="backwardCompatible"/>
                  </v:fill>
                  <v:stroke weight="0.5pt" color="#70AD47 [3209]" miterlimit="8" joinstyle="miter"/>
                  <v:imagedata o:title=""/>
                  <o:lock v:ext="edit" aspectratio="f"/>
                  <v:textbox>
                    <w:txbxContent>
                      <w:p w14:paraId="69330CD9">
                        <w:pPr>
                          <w:pStyle w:val="39"/>
                          <w:rPr>
                            <w:sz w:val="18"/>
                            <w:szCs w:val="18"/>
                          </w:rPr>
                        </w:pPr>
                        <w:r>
                          <w:rPr>
                            <w:rFonts w:ascii="Century Gothic" w:hAnsi="Century Gothic"/>
                            <w:b/>
                            <w:bCs/>
                            <w:sz w:val="18"/>
                            <w:szCs w:val="18"/>
                          </w:rPr>
                          <w:t>4. Integración</w:t>
                        </w:r>
                      </w:p>
                      <w:p w14:paraId="6680E095">
                        <w:pPr>
                          <w:jc w:val="center"/>
                          <w:rPr>
                            <w:sz w:val="18"/>
                            <w:szCs w:val="18"/>
                          </w:rPr>
                        </w:pPr>
                      </w:p>
                    </w:txbxContent>
                  </v:textbox>
                </v:shape>
              </v:group>
            </w:pict>
          </mc:Fallback>
        </mc:AlternateContent>
      </w:r>
    </w:p>
    <w:p w14:paraId="1BCB912F">
      <w:pPr>
        <w:pStyle w:val="86"/>
      </w:pPr>
    </w:p>
    <w:p w14:paraId="6B8D6926">
      <w:pPr>
        <w:pStyle w:val="86"/>
      </w:pPr>
    </w:p>
    <w:p w14:paraId="2B07D609">
      <w:pPr>
        <w:pStyle w:val="86"/>
      </w:pPr>
    </w:p>
    <w:p w14:paraId="66AADB3A">
      <w:pPr>
        <w:rPr>
          <w:rFonts w:ascii="Century Gothic" w:hAnsi="Century Gothic" w:cs="Arial"/>
          <w:b/>
          <w:sz w:val="22"/>
          <w:szCs w:val="22"/>
        </w:rPr>
      </w:pPr>
    </w:p>
    <w:p w14:paraId="43A9369B">
      <w:pPr>
        <w:rPr>
          <w:rFonts w:ascii="Century Gothic" w:hAnsi="Century Gothic" w:cs="Arial"/>
          <w:b/>
          <w:sz w:val="22"/>
          <w:szCs w:val="22"/>
        </w:rPr>
      </w:pPr>
    </w:p>
    <w:p w14:paraId="4DA0BFC9">
      <w:pPr>
        <w:rPr>
          <w:rFonts w:ascii="Century Gothic" w:hAnsi="Century Gothic" w:cs="Arial"/>
          <w:b/>
          <w:sz w:val="22"/>
          <w:szCs w:val="22"/>
        </w:rPr>
      </w:pPr>
    </w:p>
    <w:p w14:paraId="2AEA55F1">
      <w:pPr>
        <w:rPr>
          <w:rFonts w:ascii="Century Gothic" w:hAnsi="Century Gothic" w:cs="Arial"/>
          <w:b/>
          <w:sz w:val="22"/>
          <w:szCs w:val="22"/>
        </w:rPr>
      </w:pPr>
    </w:p>
    <w:p w14:paraId="7AEFC2CF">
      <w:pPr>
        <w:rPr>
          <w:rFonts w:ascii="Century Gothic" w:hAnsi="Century Gothic" w:cs="Arial"/>
          <w:b/>
          <w:sz w:val="22"/>
          <w:szCs w:val="22"/>
        </w:rPr>
      </w:pPr>
    </w:p>
    <w:p w14:paraId="5B116B3F">
      <w:pPr>
        <w:rPr>
          <w:rFonts w:ascii="Century Gothic" w:hAnsi="Century Gothic" w:cs="Arial"/>
          <w:b/>
          <w:sz w:val="22"/>
          <w:szCs w:val="22"/>
        </w:rPr>
      </w:pPr>
    </w:p>
    <w:p w14:paraId="464C2707">
      <w:pPr>
        <w:rPr>
          <w:rFonts w:ascii="Century Gothic" w:hAnsi="Century Gothic" w:cs="Arial"/>
          <w:b/>
          <w:sz w:val="22"/>
          <w:szCs w:val="22"/>
        </w:rPr>
      </w:pPr>
    </w:p>
    <w:p w14:paraId="72821AE5">
      <w:pPr>
        <w:rPr>
          <w:rFonts w:ascii="Century Gothic" w:hAnsi="Century Gothic" w:cs="Arial"/>
          <w:b/>
          <w:sz w:val="22"/>
          <w:szCs w:val="22"/>
        </w:rPr>
      </w:pPr>
    </w:p>
    <w:p w14:paraId="211EF8A7">
      <w:pPr>
        <w:rPr>
          <w:rFonts w:ascii="Century Gothic" w:hAnsi="Century Gothic" w:cs="Arial"/>
          <w:b/>
          <w:sz w:val="22"/>
          <w:szCs w:val="22"/>
        </w:rPr>
      </w:pPr>
    </w:p>
    <w:p w14:paraId="2ABF238A">
      <w:pPr>
        <w:pStyle w:val="65"/>
        <w:numPr>
          <w:ilvl w:val="1"/>
          <w:numId w:val="8"/>
        </w:numPr>
        <w:autoSpaceDE w:val="0"/>
        <w:autoSpaceDN w:val="0"/>
        <w:adjustRightInd w:val="0"/>
        <w:spacing w:before="220" w:line="28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b/>
          <w:bCs/>
          <w:color w:val="000000"/>
          <w:sz w:val="22"/>
          <w:szCs w:val="22"/>
          <w:lang w:eastAsia="en-US"/>
        </w:rPr>
        <w:t xml:space="preserve">CONSECUENCIAS DEL LAVADO DE ACTIVOS Y LA FINANCIACIÓN DEL TERRORISMO </w:t>
      </w:r>
    </w:p>
    <w:p w14:paraId="01C31ED5">
      <w:pPr>
        <w:autoSpaceDE w:val="0"/>
        <w:autoSpaceDN w:val="0"/>
        <w:adjustRightInd w:val="0"/>
        <w:spacing w:after="160"/>
        <w:contextualSpacing/>
        <w:rPr>
          <w:rFonts w:ascii="Century Gothic" w:hAnsi="Century Gothic" w:cs="ITC Franklin Gothic Std Book" w:eastAsiaTheme="minorHAnsi"/>
          <w:color w:val="000000"/>
          <w:sz w:val="22"/>
          <w:szCs w:val="22"/>
          <w:lang w:eastAsia="en-US"/>
        </w:rPr>
      </w:pPr>
    </w:p>
    <w:p w14:paraId="35827F9C">
      <w:pPr>
        <w:autoSpaceDE w:val="0"/>
        <w:autoSpaceDN w:val="0"/>
        <w:adjustRightInd w:val="0"/>
        <w:spacing w:after="16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Es posible que a través de las empresas del sector real se pueda lavar activos y financiar el terrorismo, ya que se trata de empresas en las que se realizan transacciones de grandes sumas de dinero, por tanto, es necesario prevenir, detectar y controlar el lavado de activos y la financiación del terrorismo debido a que, ade</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más de tratarse de actividades prohibidas por las normas penales, conllevan con</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 xml:space="preserve">secuencias desastrosas tales como: </w:t>
      </w:r>
    </w:p>
    <w:p w14:paraId="6A666049">
      <w:pPr>
        <w:pStyle w:val="65"/>
        <w:numPr>
          <w:ilvl w:val="0"/>
          <w:numId w:val="26"/>
        </w:numPr>
        <w:autoSpaceDE w:val="0"/>
        <w:autoSpaceDN w:val="0"/>
        <w:adjustRightInd w:val="0"/>
        <w:spacing w:after="132"/>
        <w:contextualSpacing/>
        <w:jc w:val="lef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Perdida de la reputación. </w:t>
      </w:r>
    </w:p>
    <w:p w14:paraId="7488AE7A">
      <w:pPr>
        <w:pStyle w:val="65"/>
        <w:numPr>
          <w:ilvl w:val="0"/>
          <w:numId w:val="26"/>
        </w:numPr>
        <w:autoSpaceDE w:val="0"/>
        <w:autoSpaceDN w:val="0"/>
        <w:adjustRightInd w:val="0"/>
        <w:spacing w:after="132"/>
        <w:contextualSpacing/>
        <w:jc w:val="lef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Ser incluidos en listas restrictivas internacionales como la Lista OFAC, Lista de la ONU, Lista de la compañía de Inglaterra, entre otras. </w:t>
      </w:r>
    </w:p>
    <w:p w14:paraId="3A9A75FB">
      <w:pPr>
        <w:pStyle w:val="65"/>
        <w:numPr>
          <w:ilvl w:val="0"/>
          <w:numId w:val="26"/>
        </w:numPr>
        <w:autoSpaceDE w:val="0"/>
        <w:autoSpaceDN w:val="0"/>
        <w:adjustRightInd w:val="0"/>
        <w:spacing w:after="132"/>
        <w:contextualSpacing/>
        <w:jc w:val="lef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Pérdida de acceso a los servicios y productos del sistema financiero. </w:t>
      </w:r>
    </w:p>
    <w:p w14:paraId="52ACFB2B">
      <w:pPr>
        <w:pStyle w:val="65"/>
        <w:numPr>
          <w:ilvl w:val="0"/>
          <w:numId w:val="26"/>
        </w:numPr>
        <w:autoSpaceDE w:val="0"/>
        <w:autoSpaceDN w:val="0"/>
        <w:adjustRightInd w:val="0"/>
        <w:spacing w:after="132"/>
        <w:contextualSpacing/>
        <w:jc w:val="lef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Pérdida de relaciones comerciales con otros países. </w:t>
      </w:r>
    </w:p>
    <w:p w14:paraId="512C8A6B">
      <w:pPr>
        <w:pStyle w:val="65"/>
        <w:numPr>
          <w:ilvl w:val="0"/>
          <w:numId w:val="26"/>
        </w:numPr>
        <w:autoSpaceDE w:val="0"/>
        <w:autoSpaceDN w:val="0"/>
        <w:adjustRightInd w:val="0"/>
        <w:spacing w:after="132"/>
        <w:contextualSpacing/>
        <w:jc w:val="lef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 Deterioro de las instituciones democráticas y de la seguridad nacional e internacional. </w:t>
      </w:r>
    </w:p>
    <w:p w14:paraId="34C716FE">
      <w:pPr>
        <w:pStyle w:val="65"/>
        <w:numPr>
          <w:ilvl w:val="0"/>
          <w:numId w:val="26"/>
        </w:numPr>
        <w:autoSpaceDE w:val="0"/>
        <w:autoSpaceDN w:val="0"/>
        <w:adjustRightInd w:val="0"/>
        <w:spacing w:after="132"/>
        <w:contextualSpacing/>
        <w:jc w:val="lef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Riesgos para los negocios. </w:t>
      </w:r>
    </w:p>
    <w:p w14:paraId="54C9EC3C">
      <w:pPr>
        <w:pStyle w:val="65"/>
        <w:numPr>
          <w:ilvl w:val="0"/>
          <w:numId w:val="26"/>
        </w:numPr>
        <w:autoSpaceDE w:val="0"/>
        <w:autoSpaceDN w:val="0"/>
        <w:adjustRightInd w:val="0"/>
        <w:spacing w:after="132"/>
        <w:contextualSpacing/>
        <w:jc w:val="lef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Sanciones personales e institucionales de tipo penal, administrativa, laboral y patrimonial. </w:t>
      </w:r>
    </w:p>
    <w:p w14:paraId="61788B18">
      <w:pPr>
        <w:pStyle w:val="65"/>
        <w:numPr>
          <w:ilvl w:val="0"/>
          <w:numId w:val="26"/>
        </w:numPr>
        <w:autoSpaceDE w:val="0"/>
        <w:autoSpaceDN w:val="0"/>
        <w:adjustRightInd w:val="0"/>
        <w:spacing w:after="132"/>
        <w:contextualSpacing/>
        <w:jc w:val="lef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Fortalecimiento de los delincuentes. </w:t>
      </w:r>
    </w:p>
    <w:p w14:paraId="687CF4A1">
      <w:pPr>
        <w:pStyle w:val="65"/>
        <w:numPr>
          <w:ilvl w:val="0"/>
          <w:numId w:val="26"/>
        </w:numPr>
        <w:autoSpaceDE w:val="0"/>
        <w:autoSpaceDN w:val="0"/>
        <w:adjustRightInd w:val="0"/>
        <w:contextualSpacing/>
        <w:jc w:val="lef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Generación de más delitos. </w:t>
      </w:r>
    </w:p>
    <w:p w14:paraId="1CC1A752">
      <w:pPr>
        <w:rPr>
          <w:rFonts w:ascii="Century Gothic" w:hAnsi="Century Gothic" w:cs="Arial"/>
          <w:b/>
          <w:sz w:val="22"/>
          <w:szCs w:val="22"/>
        </w:rPr>
      </w:pPr>
    </w:p>
    <w:p w14:paraId="4C3CBEAB">
      <w:pPr>
        <w:rPr>
          <w:rFonts w:ascii="Century Gothic" w:hAnsi="Century Gothic" w:cs="Arial"/>
          <w:b/>
          <w:sz w:val="22"/>
          <w:szCs w:val="22"/>
        </w:rPr>
      </w:pPr>
    </w:p>
    <w:p w14:paraId="516B83B5">
      <w:pPr>
        <w:pStyle w:val="65"/>
        <w:numPr>
          <w:ilvl w:val="1"/>
          <w:numId w:val="8"/>
        </w:numPr>
        <w:rPr>
          <w:rFonts w:ascii="Century Gothic" w:hAnsi="Century Gothic" w:cs="Arial"/>
          <w:b/>
          <w:sz w:val="22"/>
          <w:szCs w:val="22"/>
        </w:rPr>
      </w:pPr>
      <w:r>
        <w:rPr>
          <w:rFonts w:ascii="Century Gothic" w:hAnsi="Century Gothic" w:cs="Arial"/>
          <w:b/>
          <w:sz w:val="22"/>
          <w:szCs w:val="22"/>
        </w:rPr>
        <w:t>BUENAS PRÁCTICAS CONTRA EL LAVADO DE ACTIVOS Y FINANCIACIÓN DEL TERRORISMO</w:t>
      </w:r>
    </w:p>
    <w:p w14:paraId="24A88B93">
      <w:pPr>
        <w:rPr>
          <w:rFonts w:ascii="Century Gothic" w:hAnsi="Century Gothic" w:cs="Arial"/>
          <w:b/>
          <w:sz w:val="22"/>
          <w:szCs w:val="22"/>
        </w:rPr>
      </w:pPr>
    </w:p>
    <w:p w14:paraId="70FF518E">
      <w:pPr>
        <w:autoSpaceDE w:val="0"/>
        <w:autoSpaceDN w:val="0"/>
        <w:adjustRightInd w:val="0"/>
        <w:rPr>
          <w:rFonts w:ascii="Century Gothic" w:hAnsi="Century Gothic" w:cs="Arial"/>
          <w:sz w:val="22"/>
          <w:szCs w:val="22"/>
        </w:rPr>
      </w:pPr>
      <w:r>
        <w:rPr>
          <w:rFonts w:ascii="Century Gothic" w:hAnsi="Century Gothic" w:cs="Arial"/>
          <w:sz w:val="22"/>
          <w:szCs w:val="22"/>
        </w:rPr>
        <w:t>A continuación se presentan las mejores prácticas que sugiere la UIAF y que deben tenerse en cuenta en la prevención y control del lavado de activos y la financiación del terrorismo al interior de la Entidad:</w:t>
      </w:r>
    </w:p>
    <w:p w14:paraId="0DE8958C">
      <w:pPr>
        <w:autoSpaceDE w:val="0"/>
        <w:autoSpaceDN w:val="0"/>
        <w:adjustRightInd w:val="0"/>
        <w:rPr>
          <w:rFonts w:ascii="Century Gothic" w:hAnsi="Century Gothic" w:cs="Arial"/>
          <w:sz w:val="22"/>
          <w:szCs w:val="22"/>
        </w:rPr>
      </w:pPr>
    </w:p>
    <w:p w14:paraId="2EBDD123">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Nunca preste su nombre como persona natural o como persona jurídica.</w:t>
      </w:r>
    </w:p>
    <w:p w14:paraId="430CE4CF">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Nunca preste sus productos financieros.</w:t>
      </w:r>
    </w:p>
    <w:p w14:paraId="60B2C2C6">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pregunte por el origen y destino de los bienes, recursos o activos con los cuales va a hacer negocios.</w:t>
      </w:r>
    </w:p>
    <w:p w14:paraId="44E6FD25">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documente las transacciones que realice.</w:t>
      </w:r>
    </w:p>
    <w:p w14:paraId="6C8A5EC3">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aplique mecanismos de conocimiento del cliente.</w:t>
      </w:r>
    </w:p>
    <w:p w14:paraId="13625561">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verifique y analice la información del cliente.</w:t>
      </w:r>
    </w:p>
    <w:p w14:paraId="3E722B80">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monitoree las operaciones de los clientes.</w:t>
      </w:r>
    </w:p>
    <w:p w14:paraId="3CFBAF5B">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actualice los manuales de procedimientos.</w:t>
      </w:r>
    </w:p>
    <w:p w14:paraId="1E831871">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incluya controles en los procesos.</w:t>
      </w:r>
    </w:p>
    <w:p w14:paraId="264D6D7C">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conozca su mercado y el de sus clientes.</w:t>
      </w:r>
    </w:p>
    <w:p w14:paraId="036DFE00">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apóyese en tecnología para determinar clientes, mercados y operaciones riesgosas.</w:t>
      </w:r>
    </w:p>
    <w:p w14:paraId="2DB5F236">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sensibilice, capacite y entrene a todos los empleados.</w:t>
      </w:r>
    </w:p>
    <w:p w14:paraId="3819BB8A">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establezca códigos de conducta en los que identifique situaciones de riesgo y la forma como deben actuar los empleados.</w:t>
      </w:r>
    </w:p>
    <w:p w14:paraId="4E3C6045">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Siempre dude de los “negocios fáciles”.</w:t>
      </w:r>
    </w:p>
    <w:p w14:paraId="7D460750">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Conozca las tipologías o modalidades a través de las cuales se cometen los delitos de lavado de activos y financiación del terrorismo.</w:t>
      </w:r>
    </w:p>
    <w:p w14:paraId="02937683">
      <w:pPr>
        <w:pStyle w:val="65"/>
        <w:numPr>
          <w:ilvl w:val="0"/>
          <w:numId w:val="27"/>
        </w:numPr>
        <w:autoSpaceDE w:val="0"/>
        <w:autoSpaceDN w:val="0"/>
        <w:adjustRightInd w:val="0"/>
        <w:contextualSpacing/>
        <w:rPr>
          <w:rFonts w:ascii="Century Gothic" w:hAnsi="Century Gothic" w:cs="Arial"/>
          <w:sz w:val="22"/>
          <w:szCs w:val="22"/>
        </w:rPr>
      </w:pPr>
      <w:r>
        <w:rPr>
          <w:rFonts w:ascii="Century Gothic" w:hAnsi="Century Gothic" w:cs="Arial"/>
          <w:sz w:val="22"/>
          <w:szCs w:val="22"/>
        </w:rPr>
        <w:t>Identifique señales de alerta.</w:t>
      </w:r>
    </w:p>
    <w:p w14:paraId="6E36292C">
      <w:pPr>
        <w:autoSpaceDE w:val="0"/>
        <w:autoSpaceDN w:val="0"/>
        <w:adjustRightInd w:val="0"/>
        <w:contextualSpacing/>
        <w:rPr>
          <w:rFonts w:ascii="Century Gothic" w:hAnsi="Century Gothic" w:cs="Arial"/>
          <w:sz w:val="22"/>
          <w:szCs w:val="22"/>
        </w:rPr>
      </w:pPr>
    </w:p>
    <w:p w14:paraId="2ED675EC">
      <w:pPr>
        <w:autoSpaceDE w:val="0"/>
        <w:autoSpaceDN w:val="0"/>
        <w:adjustRightInd w:val="0"/>
        <w:contextualSpacing/>
        <w:rPr>
          <w:rFonts w:ascii="Century Gothic" w:hAnsi="Century Gothic" w:cs="ITC Franklin Gothic Std Book"/>
          <w:color w:val="000000"/>
          <w:sz w:val="22"/>
          <w:szCs w:val="22"/>
        </w:rPr>
      </w:pPr>
    </w:p>
    <w:p w14:paraId="7476AFBB">
      <w:pPr>
        <w:autoSpaceDE w:val="0"/>
        <w:autoSpaceDN w:val="0"/>
        <w:adjustRightInd w:val="0"/>
        <w:contextualSpacing/>
        <w:rPr>
          <w:rFonts w:ascii="Century Gothic" w:hAnsi="Century Gothic" w:cs="ITC Franklin Gothic Std Book"/>
          <w:color w:val="000000"/>
          <w:sz w:val="22"/>
          <w:szCs w:val="22"/>
        </w:rPr>
      </w:pPr>
    </w:p>
    <w:p w14:paraId="08408057">
      <w:pPr>
        <w:autoSpaceDE w:val="0"/>
        <w:autoSpaceDN w:val="0"/>
        <w:adjustRightInd w:val="0"/>
        <w:contextualSpacing/>
        <w:rPr>
          <w:rFonts w:ascii="Century Gothic" w:hAnsi="Century Gothic" w:cs="ITC Franklin Gothic Std Book"/>
          <w:color w:val="000000"/>
          <w:sz w:val="22"/>
          <w:szCs w:val="22"/>
        </w:rPr>
      </w:pPr>
    </w:p>
    <w:p w14:paraId="2D883032">
      <w:pPr>
        <w:autoSpaceDE w:val="0"/>
        <w:autoSpaceDN w:val="0"/>
        <w:adjustRightInd w:val="0"/>
        <w:contextualSpacing/>
        <w:rPr>
          <w:rFonts w:ascii="Century Gothic" w:hAnsi="Century Gothic" w:cs="ITC Franklin Gothic Std Book"/>
          <w:color w:val="000000"/>
          <w:sz w:val="22"/>
          <w:szCs w:val="22"/>
        </w:rPr>
      </w:pPr>
    </w:p>
    <w:p w14:paraId="5CADB68B">
      <w:pPr>
        <w:autoSpaceDE w:val="0"/>
        <w:autoSpaceDN w:val="0"/>
        <w:adjustRightInd w:val="0"/>
        <w:contextualSpacing/>
        <w:rPr>
          <w:rFonts w:ascii="Century Gothic" w:hAnsi="Century Gothic" w:cs="ITC Franklin Gothic Std Book"/>
          <w:color w:val="000000"/>
          <w:sz w:val="22"/>
          <w:szCs w:val="22"/>
        </w:rPr>
      </w:pPr>
    </w:p>
    <w:p w14:paraId="0F40DE2C">
      <w:pPr>
        <w:autoSpaceDE w:val="0"/>
        <w:autoSpaceDN w:val="0"/>
        <w:adjustRightInd w:val="0"/>
        <w:contextualSpacing/>
        <w:rPr>
          <w:rFonts w:ascii="Century Gothic" w:hAnsi="Century Gothic" w:cs="ITC Franklin Gothic Std Book"/>
          <w:color w:val="000000"/>
          <w:sz w:val="22"/>
          <w:szCs w:val="22"/>
        </w:rPr>
      </w:pPr>
    </w:p>
    <w:p w14:paraId="4697F222">
      <w:pPr>
        <w:autoSpaceDE w:val="0"/>
        <w:autoSpaceDN w:val="0"/>
        <w:adjustRightInd w:val="0"/>
        <w:contextualSpacing/>
        <w:rPr>
          <w:rFonts w:ascii="Century Gothic" w:hAnsi="Century Gothic" w:cs="ITC Franklin Gothic Std Book"/>
          <w:color w:val="000000"/>
          <w:sz w:val="22"/>
          <w:szCs w:val="22"/>
        </w:rPr>
      </w:pPr>
    </w:p>
    <w:p w14:paraId="4E30EC60">
      <w:pPr>
        <w:autoSpaceDE w:val="0"/>
        <w:autoSpaceDN w:val="0"/>
        <w:adjustRightInd w:val="0"/>
        <w:contextualSpacing/>
        <w:rPr>
          <w:rFonts w:ascii="Century Gothic" w:hAnsi="Century Gothic" w:cs="ITC Franklin Gothic Std Book"/>
          <w:color w:val="000000"/>
          <w:sz w:val="22"/>
          <w:szCs w:val="22"/>
        </w:rPr>
      </w:pPr>
    </w:p>
    <w:p w14:paraId="45E8F98A">
      <w:pPr>
        <w:autoSpaceDE w:val="0"/>
        <w:autoSpaceDN w:val="0"/>
        <w:adjustRightInd w:val="0"/>
        <w:contextualSpacing/>
        <w:rPr>
          <w:rFonts w:ascii="Century Gothic" w:hAnsi="Century Gothic" w:cs="ITC Franklin Gothic Std Book"/>
          <w:color w:val="000000"/>
          <w:sz w:val="22"/>
          <w:szCs w:val="22"/>
        </w:rPr>
      </w:pPr>
    </w:p>
    <w:p w14:paraId="15B9F4BC">
      <w:pPr>
        <w:autoSpaceDE w:val="0"/>
        <w:autoSpaceDN w:val="0"/>
        <w:adjustRightInd w:val="0"/>
        <w:contextualSpacing/>
        <w:rPr>
          <w:rFonts w:ascii="Century Gothic" w:hAnsi="Century Gothic" w:cs="ITC Franklin Gothic Std Book"/>
          <w:color w:val="000000"/>
          <w:sz w:val="22"/>
          <w:szCs w:val="22"/>
        </w:rPr>
      </w:pPr>
    </w:p>
    <w:p w14:paraId="19EE7C5B">
      <w:pPr>
        <w:autoSpaceDE w:val="0"/>
        <w:autoSpaceDN w:val="0"/>
        <w:adjustRightInd w:val="0"/>
        <w:contextualSpacing/>
        <w:rPr>
          <w:rFonts w:ascii="Century Gothic" w:hAnsi="Century Gothic" w:cs="ITC Franklin Gothic Std Book"/>
          <w:color w:val="000000"/>
          <w:sz w:val="22"/>
          <w:szCs w:val="22"/>
        </w:rPr>
      </w:pPr>
    </w:p>
    <w:p w14:paraId="6D258167">
      <w:pPr>
        <w:autoSpaceDE w:val="0"/>
        <w:autoSpaceDN w:val="0"/>
        <w:adjustRightInd w:val="0"/>
        <w:contextualSpacing/>
        <w:rPr>
          <w:rFonts w:ascii="Century Gothic" w:hAnsi="Century Gothic" w:cs="Arial"/>
          <w:sz w:val="22"/>
          <w:szCs w:val="22"/>
        </w:rPr>
      </w:pPr>
    </w:p>
    <w:p w14:paraId="37DEBE92">
      <w:pPr>
        <w:autoSpaceDE w:val="0"/>
        <w:autoSpaceDN w:val="0"/>
        <w:adjustRightInd w:val="0"/>
        <w:contextualSpacing/>
        <w:rPr>
          <w:rFonts w:ascii="Century Gothic" w:hAnsi="Century Gothic" w:cs="Arial"/>
          <w:sz w:val="22"/>
          <w:szCs w:val="22"/>
        </w:rPr>
      </w:pPr>
    </w:p>
    <w:p w14:paraId="2EAE5F23">
      <w:pPr>
        <w:autoSpaceDE w:val="0"/>
        <w:autoSpaceDN w:val="0"/>
        <w:adjustRightInd w:val="0"/>
        <w:contextualSpacing/>
        <w:rPr>
          <w:rFonts w:ascii="Century Gothic" w:hAnsi="Century Gothic" w:cs="Arial"/>
          <w:sz w:val="22"/>
          <w:szCs w:val="22"/>
        </w:rPr>
      </w:pPr>
    </w:p>
    <w:p w14:paraId="72849D0D">
      <w:pPr>
        <w:autoSpaceDE w:val="0"/>
        <w:autoSpaceDN w:val="0"/>
        <w:adjustRightInd w:val="0"/>
        <w:contextualSpacing/>
        <w:rPr>
          <w:rFonts w:ascii="Century Gothic" w:hAnsi="Century Gothic" w:cs="Arial"/>
          <w:sz w:val="22"/>
          <w:szCs w:val="22"/>
        </w:rPr>
      </w:pPr>
    </w:p>
    <w:p w14:paraId="6489E5AB">
      <w:pPr>
        <w:autoSpaceDE w:val="0"/>
        <w:autoSpaceDN w:val="0"/>
        <w:adjustRightInd w:val="0"/>
        <w:contextualSpacing/>
        <w:rPr>
          <w:rFonts w:ascii="Century Gothic" w:hAnsi="Century Gothic" w:cs="Arial"/>
          <w:sz w:val="22"/>
          <w:szCs w:val="22"/>
        </w:rPr>
      </w:pPr>
    </w:p>
    <w:p w14:paraId="193CCB55">
      <w:pPr>
        <w:autoSpaceDE w:val="0"/>
        <w:autoSpaceDN w:val="0"/>
        <w:adjustRightInd w:val="0"/>
        <w:contextualSpacing/>
        <w:rPr>
          <w:rFonts w:ascii="Century Gothic" w:hAnsi="Century Gothic" w:cs="Arial"/>
          <w:sz w:val="22"/>
          <w:szCs w:val="22"/>
        </w:rPr>
      </w:pPr>
    </w:p>
    <w:p w14:paraId="4C51392B">
      <w:pPr>
        <w:autoSpaceDE w:val="0"/>
        <w:autoSpaceDN w:val="0"/>
        <w:adjustRightInd w:val="0"/>
        <w:contextualSpacing/>
        <w:rPr>
          <w:rFonts w:ascii="Century Gothic" w:hAnsi="Century Gothic" w:cs="Arial"/>
          <w:sz w:val="22"/>
          <w:szCs w:val="22"/>
        </w:rPr>
      </w:pPr>
    </w:p>
    <w:p w14:paraId="630B16C9">
      <w:pPr>
        <w:autoSpaceDE w:val="0"/>
        <w:autoSpaceDN w:val="0"/>
        <w:adjustRightInd w:val="0"/>
        <w:contextualSpacing/>
        <w:rPr>
          <w:rFonts w:ascii="Century Gothic" w:hAnsi="Century Gothic" w:cs="Arial"/>
          <w:sz w:val="22"/>
          <w:szCs w:val="22"/>
        </w:rPr>
      </w:pPr>
    </w:p>
    <w:p w14:paraId="3B761A00">
      <w:pPr>
        <w:autoSpaceDE w:val="0"/>
        <w:autoSpaceDN w:val="0"/>
        <w:adjustRightInd w:val="0"/>
        <w:contextualSpacing/>
        <w:rPr>
          <w:rFonts w:ascii="Century Gothic" w:hAnsi="Century Gothic" w:cs="Arial"/>
          <w:sz w:val="22"/>
          <w:szCs w:val="22"/>
        </w:rPr>
      </w:pPr>
    </w:p>
    <w:p w14:paraId="3CD04AF1">
      <w:pPr>
        <w:autoSpaceDE w:val="0"/>
        <w:autoSpaceDN w:val="0"/>
        <w:adjustRightInd w:val="0"/>
        <w:contextualSpacing/>
        <w:rPr>
          <w:rFonts w:ascii="Century Gothic" w:hAnsi="Century Gothic" w:cs="Arial"/>
          <w:sz w:val="22"/>
          <w:szCs w:val="22"/>
        </w:rPr>
      </w:pPr>
    </w:p>
    <w:p w14:paraId="53BBA1CC">
      <w:pPr>
        <w:autoSpaceDE w:val="0"/>
        <w:autoSpaceDN w:val="0"/>
        <w:adjustRightInd w:val="0"/>
        <w:contextualSpacing/>
        <w:rPr>
          <w:rFonts w:ascii="Century Gothic" w:hAnsi="Century Gothic" w:cs="Arial"/>
          <w:sz w:val="22"/>
          <w:szCs w:val="22"/>
        </w:rPr>
      </w:pPr>
    </w:p>
    <w:p w14:paraId="603AEC2B">
      <w:pPr>
        <w:autoSpaceDE w:val="0"/>
        <w:autoSpaceDN w:val="0"/>
        <w:adjustRightInd w:val="0"/>
        <w:contextualSpacing/>
        <w:rPr>
          <w:rFonts w:ascii="Century Gothic" w:hAnsi="Century Gothic" w:cs="Arial"/>
          <w:sz w:val="22"/>
          <w:szCs w:val="22"/>
        </w:rPr>
      </w:pPr>
    </w:p>
    <w:p w14:paraId="4F831E63">
      <w:pPr>
        <w:autoSpaceDE w:val="0"/>
        <w:autoSpaceDN w:val="0"/>
        <w:adjustRightInd w:val="0"/>
        <w:contextualSpacing/>
        <w:rPr>
          <w:rFonts w:ascii="Century Gothic" w:hAnsi="Century Gothic" w:cs="Arial"/>
          <w:sz w:val="22"/>
          <w:szCs w:val="22"/>
        </w:rPr>
      </w:pPr>
    </w:p>
    <w:p w14:paraId="7431A3F6">
      <w:pPr>
        <w:autoSpaceDE w:val="0"/>
        <w:autoSpaceDN w:val="0"/>
        <w:adjustRightInd w:val="0"/>
        <w:contextualSpacing/>
        <w:rPr>
          <w:rFonts w:ascii="Century Gothic" w:hAnsi="Century Gothic" w:cs="Arial"/>
          <w:sz w:val="22"/>
          <w:szCs w:val="22"/>
        </w:rPr>
      </w:pPr>
    </w:p>
    <w:p w14:paraId="2F6C1911">
      <w:pPr>
        <w:autoSpaceDE w:val="0"/>
        <w:autoSpaceDN w:val="0"/>
        <w:adjustRightInd w:val="0"/>
        <w:contextualSpacing/>
        <w:rPr>
          <w:rFonts w:ascii="Century Gothic" w:hAnsi="Century Gothic" w:cs="Arial"/>
          <w:sz w:val="22"/>
          <w:szCs w:val="22"/>
        </w:rPr>
      </w:pPr>
    </w:p>
    <w:p w14:paraId="610A6F06">
      <w:pPr>
        <w:autoSpaceDE w:val="0"/>
        <w:autoSpaceDN w:val="0"/>
        <w:adjustRightInd w:val="0"/>
        <w:contextualSpacing/>
        <w:rPr>
          <w:rFonts w:ascii="Century Gothic" w:hAnsi="Century Gothic" w:cs="Arial"/>
          <w:sz w:val="22"/>
          <w:szCs w:val="22"/>
        </w:rPr>
      </w:pPr>
    </w:p>
    <w:p w14:paraId="68522ED1">
      <w:pPr>
        <w:autoSpaceDE w:val="0"/>
        <w:autoSpaceDN w:val="0"/>
        <w:adjustRightInd w:val="0"/>
        <w:contextualSpacing/>
        <w:rPr>
          <w:rFonts w:ascii="Century Gothic" w:hAnsi="Century Gothic" w:cs="Arial"/>
          <w:sz w:val="22"/>
          <w:szCs w:val="22"/>
        </w:rPr>
      </w:pPr>
    </w:p>
    <w:p w14:paraId="4734F6C1">
      <w:pPr>
        <w:autoSpaceDE w:val="0"/>
        <w:autoSpaceDN w:val="0"/>
        <w:adjustRightInd w:val="0"/>
        <w:contextualSpacing/>
        <w:rPr>
          <w:rFonts w:ascii="Century Gothic" w:hAnsi="Century Gothic" w:cs="Arial"/>
          <w:sz w:val="22"/>
          <w:szCs w:val="22"/>
        </w:rPr>
      </w:pPr>
    </w:p>
    <w:p w14:paraId="55EB12CB">
      <w:pPr>
        <w:autoSpaceDE w:val="0"/>
        <w:autoSpaceDN w:val="0"/>
        <w:adjustRightInd w:val="0"/>
        <w:contextualSpacing/>
        <w:rPr>
          <w:rFonts w:ascii="Century Gothic" w:hAnsi="Century Gothic" w:cs="Arial"/>
          <w:sz w:val="22"/>
          <w:szCs w:val="22"/>
        </w:rPr>
      </w:pPr>
    </w:p>
    <w:p w14:paraId="363CD6EE">
      <w:pPr>
        <w:autoSpaceDE w:val="0"/>
        <w:autoSpaceDN w:val="0"/>
        <w:adjustRightInd w:val="0"/>
        <w:contextualSpacing/>
        <w:rPr>
          <w:rFonts w:ascii="Century Gothic" w:hAnsi="Century Gothic" w:cs="Arial"/>
          <w:sz w:val="22"/>
          <w:szCs w:val="22"/>
        </w:rPr>
      </w:pPr>
    </w:p>
    <w:p w14:paraId="2133E7B5">
      <w:pPr>
        <w:autoSpaceDE w:val="0"/>
        <w:autoSpaceDN w:val="0"/>
        <w:adjustRightInd w:val="0"/>
        <w:contextualSpacing/>
        <w:rPr>
          <w:rFonts w:ascii="Century Gothic" w:hAnsi="Century Gothic" w:cs="Arial"/>
          <w:sz w:val="22"/>
          <w:szCs w:val="22"/>
        </w:rPr>
      </w:pPr>
    </w:p>
    <w:p w14:paraId="52E23E29">
      <w:pPr>
        <w:pStyle w:val="65"/>
        <w:numPr>
          <w:ilvl w:val="0"/>
          <w:numId w:val="8"/>
        </w:numPr>
        <w:jc w:val="center"/>
        <w:rPr>
          <w:rFonts w:ascii="Century Gothic" w:hAnsi="Century Gothic" w:cs="Arial"/>
          <w:b/>
          <w:sz w:val="22"/>
          <w:szCs w:val="22"/>
        </w:rPr>
      </w:pPr>
      <w:bookmarkStart w:id="52" w:name="_Toc189648989"/>
      <w:bookmarkStart w:id="53" w:name="_Toc189641131"/>
      <w:r>
        <w:rPr>
          <w:rFonts w:ascii="Century Gothic" w:hAnsi="Century Gothic" w:cs="Arial"/>
          <w:b/>
          <w:sz w:val="22"/>
          <w:szCs w:val="22"/>
        </w:rPr>
        <w:t>GENERALIDADES DEL SARLAFT</w:t>
      </w:r>
    </w:p>
    <w:p w14:paraId="4C777A8B">
      <w:pPr>
        <w:rPr>
          <w:rFonts w:ascii="Century Gothic" w:hAnsi="Century Gothic" w:cs="Arial"/>
          <w:b/>
          <w:sz w:val="22"/>
          <w:szCs w:val="22"/>
          <w:lang w:val="es-ES"/>
        </w:rPr>
      </w:pPr>
    </w:p>
    <w:p w14:paraId="1EA5038F">
      <w:pPr>
        <w:rPr>
          <w:rFonts w:ascii="Century Gothic" w:hAnsi="Century Gothic" w:cs="Arial"/>
          <w:sz w:val="22"/>
          <w:szCs w:val="22"/>
          <w:lang w:val="es-ES"/>
        </w:rPr>
      </w:pPr>
      <w:r>
        <w:rPr>
          <w:rFonts w:ascii="Century Gothic" w:hAnsi="Century Gothic" w:cs="Arial"/>
          <w:sz w:val="22"/>
          <w:szCs w:val="22"/>
          <w:lang w:val="es-ES"/>
        </w:rPr>
        <w:t xml:space="preserve">El SARLAFT, como sistema de administración para gestionar el riesgo de LA/FT, se instrumenta a través de las etapas y elementos que más adelante se describen y abarca todas las actividades que realiza la Entidad en desarrollo de su objeto social principal y prevé, además, procedimientos y metodologías para que ésta quede protegida de ser utilizada a través de sus asociados/clientes; de sus miembros que integran los órganos de administración y control; sus empleados y sus relacionados contractuales, como instrumento para el lavado de activos y/o canalización de recursos hacia la realización de actividades terroristas, o cuando se pretenda el ocultamiento de activos provenientes de dichas actividades. </w:t>
      </w:r>
    </w:p>
    <w:p w14:paraId="3B864F5B">
      <w:pPr>
        <w:rPr>
          <w:rFonts w:ascii="Century Gothic" w:hAnsi="Century Gothic" w:cs="Arial"/>
          <w:sz w:val="22"/>
          <w:szCs w:val="22"/>
          <w:lang w:val="es-ES"/>
        </w:rPr>
      </w:pPr>
    </w:p>
    <w:p w14:paraId="2A9F17B3">
      <w:pPr>
        <w:rPr>
          <w:rFonts w:ascii="Century Gothic" w:hAnsi="Century Gothic" w:cs="Arial"/>
          <w:color w:val="000000"/>
          <w:sz w:val="22"/>
          <w:szCs w:val="22"/>
        </w:rPr>
      </w:pPr>
      <w:r>
        <w:rPr>
          <w:rFonts w:ascii="Century Gothic" w:hAnsi="Century Gothic" w:cs="Arial"/>
          <w:color w:val="000000"/>
          <w:sz w:val="22"/>
          <w:szCs w:val="22"/>
          <w:lang w:eastAsia="es-CO"/>
        </w:rPr>
        <mc:AlternateContent>
          <mc:Choice Requires="wpg">
            <w:drawing>
              <wp:anchor distT="0" distB="0" distL="114300" distR="114300" simplePos="0" relativeHeight="251663360" behindDoc="0" locked="0" layoutInCell="1" allowOverlap="1">
                <wp:simplePos x="0" y="0"/>
                <wp:positionH relativeFrom="column">
                  <wp:posOffset>295910</wp:posOffset>
                </wp:positionH>
                <wp:positionV relativeFrom="paragraph">
                  <wp:posOffset>339725</wp:posOffset>
                </wp:positionV>
                <wp:extent cx="5356860" cy="4191000"/>
                <wp:effectExtent l="0" t="0" r="15240" b="0"/>
                <wp:wrapNone/>
                <wp:docPr id="63" name="Grupo 63"/>
                <wp:cNvGraphicFramePr/>
                <a:graphic xmlns:a="http://schemas.openxmlformats.org/drawingml/2006/main">
                  <a:graphicData uri="http://schemas.microsoft.com/office/word/2010/wordprocessingGroup">
                    <wpg:wgp>
                      <wpg:cNvGrpSpPr/>
                      <wpg:grpSpPr>
                        <a:xfrm>
                          <a:off x="0" y="0"/>
                          <a:ext cx="5356860" cy="4191000"/>
                          <a:chOff x="0" y="0"/>
                          <a:chExt cx="5356777" cy="4191215"/>
                        </a:xfrm>
                      </wpg:grpSpPr>
                      <wps:wsp>
                        <wps:cNvPr id="31" name="Abrir llave 30"/>
                        <wps:cNvSpPr/>
                        <wps:spPr>
                          <a:xfrm rot="16200000">
                            <a:off x="2424347" y="-2424347"/>
                            <a:ext cx="249585" cy="5098280"/>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9" name="Llamada rectangular redondeada 31"/>
                        <wps:cNvSpPr/>
                        <wps:spPr>
                          <a:xfrm>
                            <a:off x="185972" y="385528"/>
                            <a:ext cx="2044065" cy="508635"/>
                          </a:xfrm>
                          <a:prstGeom prst="wedgeRoundRectCallout">
                            <a:avLst>
                              <a:gd name="adj1" fmla="val -21255"/>
                              <a:gd name="adj2" fmla="val 103204"/>
                              <a:gd name="adj3" fmla="val 16667"/>
                            </a:avLst>
                          </a:prstGeom>
                          <a:solidFill>
                            <a:schemeClr val="accent6">
                              <a:lumMod val="20000"/>
                              <a:lumOff val="80000"/>
                            </a:schemeClr>
                          </a:solidFill>
                        </wps:spPr>
                        <wps:style>
                          <a:lnRef idx="2">
                            <a:schemeClr val="accent6"/>
                          </a:lnRef>
                          <a:fillRef idx="1">
                            <a:schemeClr val="lt1"/>
                          </a:fillRef>
                          <a:effectRef idx="0">
                            <a:schemeClr val="accent6"/>
                          </a:effectRef>
                          <a:fontRef idx="minor">
                            <a:schemeClr val="dk1"/>
                          </a:fontRef>
                        </wps:style>
                        <wps:txbx>
                          <w:txbxContent>
                            <w:p w14:paraId="74396698">
                              <w:pPr>
                                <w:jc w:val="center"/>
                                <w:rPr>
                                  <w:color w:val="000000" w:themeColor="text1"/>
                                  <w14:textFill>
                                    <w14:solidFill>
                                      <w14:schemeClr w14:val="tx1"/>
                                    </w14:solidFill>
                                  </w14:textFill>
                                </w:rPr>
                              </w:pPr>
                              <w:r>
                                <w:rPr>
                                  <w:color w:val="000000" w:themeColor="text1"/>
                                  <w14:textFill>
                                    <w14:solidFill>
                                      <w14:schemeClr w14:val="tx1"/>
                                    </w14:solidFill>
                                  </w14:textFill>
                                </w:rPr>
                                <w:t>Etapas del SARLAFT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0" name="Llamada rectangular redondeada 40"/>
                        <wps:cNvSpPr/>
                        <wps:spPr>
                          <a:xfrm>
                            <a:off x="2919647" y="395053"/>
                            <a:ext cx="2044065" cy="508635"/>
                          </a:xfrm>
                          <a:prstGeom prst="wedgeRoundRectCallout">
                            <a:avLst>
                              <a:gd name="adj1" fmla="val -20411"/>
                              <a:gd name="adj2" fmla="val 106596"/>
                              <a:gd name="adj3" fmla="val 16667"/>
                            </a:avLst>
                          </a:prstGeom>
                          <a:solidFill>
                            <a:schemeClr val="accent6">
                              <a:lumMod val="20000"/>
                              <a:lumOff val="80000"/>
                            </a:schemeClr>
                          </a:solidFill>
                        </wps:spPr>
                        <wps:style>
                          <a:lnRef idx="2">
                            <a:schemeClr val="accent6"/>
                          </a:lnRef>
                          <a:fillRef idx="1">
                            <a:schemeClr val="lt1"/>
                          </a:fillRef>
                          <a:effectRef idx="0">
                            <a:schemeClr val="accent6"/>
                          </a:effectRef>
                          <a:fontRef idx="minor">
                            <a:schemeClr val="dk1"/>
                          </a:fontRef>
                        </wps:style>
                        <wps:txbx>
                          <w:txbxContent>
                            <w:p w14:paraId="7FF479C6">
                              <w:pPr>
                                <w:jc w:val="center"/>
                                <w:rPr>
                                  <w:color w:val="000000" w:themeColor="text1"/>
                                  <w14:textFill>
                                    <w14:solidFill>
                                      <w14:schemeClr w14:val="tx1"/>
                                    </w14:solidFill>
                                  </w14:textFill>
                                </w:rPr>
                              </w:pPr>
                              <w:r>
                                <w:rPr>
                                  <w:color w:val="000000" w:themeColor="text1"/>
                                  <w14:textFill>
                                    <w14:solidFill>
                                      <w14:schemeClr w14:val="tx1"/>
                                    </w14:solidFill>
                                  </w14:textFill>
                                </w:rPr>
                                <w:t>Elementos del SARLAFT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4" name="Rectángulo redondeado 44"/>
                        <wps:cNvSpPr/>
                        <wps:spPr>
                          <a:xfrm>
                            <a:off x="4997" y="1214203"/>
                            <a:ext cx="2397808" cy="810260"/>
                          </a:xfrm>
                          <a:prstGeom prst="roundRect">
                            <a:avLst/>
                          </a:prstGeom>
                        </wps:spPr>
                        <wps:style>
                          <a:lnRef idx="2">
                            <a:schemeClr val="accent2"/>
                          </a:lnRef>
                          <a:fillRef idx="1">
                            <a:schemeClr val="lt1"/>
                          </a:fillRef>
                          <a:effectRef idx="0">
                            <a:schemeClr val="accent2"/>
                          </a:effectRef>
                          <a:fontRef idx="minor">
                            <a:schemeClr val="dk1"/>
                          </a:fontRef>
                        </wps:style>
                        <wps:txbx>
                          <w:txbxContent>
                            <w:p w14:paraId="0A038B72">
                              <w:pPr>
                                <w:jc w:val="center"/>
                                <w:rPr>
                                  <w:sz w:val="20"/>
                                  <w:szCs w:val="20"/>
                                </w:rPr>
                              </w:pPr>
                              <w:r>
                                <w:rPr>
                                  <w:rFonts w:ascii="Century Gothic" w:hAnsi="Century Gothic" w:cs="Arial"/>
                                  <w:color w:val="000000"/>
                                  <w:sz w:val="20"/>
                                  <w:szCs w:val="20"/>
                                </w:rPr>
                                <w:t>Son las fases mediante las cuales la entidad administra el riesgo de LA/FT a saber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Abrir llave 45"/>
                        <wps:cNvSpPr/>
                        <wps:spPr>
                          <a:xfrm>
                            <a:off x="366947" y="2300053"/>
                            <a:ext cx="181155" cy="793630"/>
                          </a:xfrm>
                          <a:prstGeom prst="leftBrace">
                            <a:avLst/>
                          </a:prstGeom>
                        </wps:spPr>
                        <wps:style>
                          <a:lnRef idx="3">
                            <a:schemeClr val="accent6"/>
                          </a:lnRef>
                          <a:fillRef idx="0">
                            <a:schemeClr val="accent6"/>
                          </a:fillRef>
                          <a:effectRef idx="2">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6" name="Rectángulo redondeado 46"/>
                        <wps:cNvSpPr/>
                        <wps:spPr>
                          <a:xfrm>
                            <a:off x="700322" y="2309578"/>
                            <a:ext cx="1492370" cy="853440"/>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7F6E5C">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Identificación </w:t>
                              </w:r>
                            </w:p>
                            <w:p w14:paraId="26B966B0">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Medición </w:t>
                              </w:r>
                            </w:p>
                            <w:p w14:paraId="31A5284F">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Control y </w:t>
                              </w:r>
                            </w:p>
                            <w:p w14:paraId="28082549">
                              <w:pPr>
                                <w:numPr>
                                  <w:ilvl w:val="0"/>
                                  <w:numId w:val="28"/>
                                </w:numPr>
                                <w:rPr>
                                  <w:rFonts w:ascii="Century Gothic" w:hAnsi="Century Gothic" w:cs="Arial"/>
                                  <w:color w:val="000000"/>
                                  <w:sz w:val="20"/>
                                  <w:szCs w:val="20"/>
                                </w:rPr>
                              </w:pPr>
                              <w:r>
                                <w:rPr>
                                  <w:rFonts w:ascii="Century Gothic" w:hAnsi="Century Gothic" w:cs="Arial"/>
                                  <w:color w:val="000000"/>
                                  <w:sz w:val="20"/>
                                  <w:szCs w:val="20"/>
                                </w:rPr>
                                <w:t>Monitoreo</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Rectángulo redondeado 47"/>
                        <wps:cNvSpPr/>
                        <wps:spPr>
                          <a:xfrm>
                            <a:off x="2776772" y="1214203"/>
                            <a:ext cx="2579298" cy="810884"/>
                          </a:xfrm>
                          <a:prstGeom prst="roundRect">
                            <a:avLst/>
                          </a:prstGeom>
                        </wps:spPr>
                        <wps:style>
                          <a:lnRef idx="2">
                            <a:schemeClr val="accent2"/>
                          </a:lnRef>
                          <a:fillRef idx="1">
                            <a:schemeClr val="lt1"/>
                          </a:fillRef>
                          <a:effectRef idx="0">
                            <a:schemeClr val="accent2"/>
                          </a:effectRef>
                          <a:fontRef idx="minor">
                            <a:schemeClr val="dk1"/>
                          </a:fontRef>
                        </wps:style>
                        <wps:txbx>
                          <w:txbxContent>
                            <w:p w14:paraId="024C8554">
                              <w:pPr>
                                <w:jc w:val="center"/>
                                <w:rPr>
                                  <w:sz w:val="20"/>
                                  <w:szCs w:val="20"/>
                                </w:rPr>
                              </w:pPr>
                              <w:r>
                                <w:rPr>
                                  <w:rFonts w:ascii="Century Gothic" w:hAnsi="Century Gothic" w:cs="Arial"/>
                                  <w:color w:val="000000"/>
                                  <w:sz w:val="20"/>
                                  <w:szCs w:val="20"/>
                                </w:rPr>
                                <w:t>Son el conjunto de componentes a través de los cuales se instrumenta la administración del riesgo de LA/FT en las etapas del SARLAFT, a saber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0" name="Rectángulo redondeado 50"/>
                        <wps:cNvSpPr/>
                        <wps:spPr>
                          <a:xfrm>
                            <a:off x="3338747" y="2138128"/>
                            <a:ext cx="2018030" cy="2053087"/>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91C788">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Políticas </w:t>
                              </w:r>
                            </w:p>
                            <w:p w14:paraId="3FA090CF">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Procedimientos </w:t>
                              </w:r>
                            </w:p>
                            <w:p w14:paraId="0DE03E54">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Documentación </w:t>
                              </w:r>
                            </w:p>
                            <w:p w14:paraId="6EC3C9EB">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Estructura organizacional </w:t>
                              </w:r>
                            </w:p>
                            <w:p w14:paraId="68263F6B">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Órganos de control </w:t>
                              </w:r>
                            </w:p>
                            <w:p w14:paraId="1E5BE03D">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Infraestructura tecnológica </w:t>
                              </w:r>
                            </w:p>
                            <w:p w14:paraId="45B63B02">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Divulgación de información </w:t>
                              </w:r>
                            </w:p>
                            <w:p w14:paraId="7B029410">
                              <w:pPr>
                                <w:numPr>
                                  <w:ilvl w:val="0"/>
                                  <w:numId w:val="28"/>
                                </w:numPr>
                                <w:rPr>
                                  <w:rFonts w:ascii="Century Gothic" w:hAnsi="Century Gothic" w:cs="Arial"/>
                                  <w:color w:val="000000"/>
                                  <w:sz w:val="20"/>
                                  <w:szCs w:val="20"/>
                                </w:rPr>
                              </w:pPr>
                              <w:r>
                                <w:rPr>
                                  <w:rFonts w:ascii="Century Gothic" w:hAnsi="Century Gothic" w:cs="Arial"/>
                                  <w:color w:val="000000"/>
                                  <w:sz w:val="20"/>
                                  <w:szCs w:val="20"/>
                                </w:rPr>
                                <w:t>Capacitación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9" name="Abrir llave 59"/>
                        <wps:cNvSpPr/>
                        <wps:spPr>
                          <a:xfrm>
                            <a:off x="3072047" y="2261953"/>
                            <a:ext cx="267419" cy="1785632"/>
                          </a:xfrm>
                          <a:prstGeom prst="leftBrace">
                            <a:avLst/>
                          </a:prstGeom>
                        </wps:spPr>
                        <wps:style>
                          <a:lnRef idx="3">
                            <a:schemeClr val="accent6"/>
                          </a:lnRef>
                          <a:fillRef idx="0">
                            <a:schemeClr val="accent6"/>
                          </a:fillRef>
                          <a:effectRef idx="2">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1" name="Flecha derecha 61"/>
                        <wps:cNvSpPr/>
                        <wps:spPr>
                          <a:xfrm rot="5400000">
                            <a:off x="700322" y="2033353"/>
                            <a:ext cx="224287" cy="232913"/>
                          </a:xfrm>
                          <a:prstGeom prst="rightArrow">
                            <a:avLst/>
                          </a:prstGeom>
                          <a:solidFill>
                            <a:schemeClr val="tx2">
                              <a:lumMod val="40000"/>
                              <a:lumOff val="60000"/>
                            </a:schemeClr>
                          </a:solidFill>
                          <a:ln w="19050">
                            <a:solidFill>
                              <a:srgbClr val="7030A0"/>
                            </a:solidFill>
                          </a:ln>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2" name="Flecha derecha 62"/>
                        <wps:cNvSpPr/>
                        <wps:spPr>
                          <a:xfrm rot="5400000">
                            <a:off x="3348272" y="2033353"/>
                            <a:ext cx="224287" cy="232913"/>
                          </a:xfrm>
                          <a:prstGeom prst="rightArrow">
                            <a:avLst/>
                          </a:prstGeom>
                          <a:solidFill>
                            <a:schemeClr val="tx2">
                              <a:lumMod val="40000"/>
                              <a:lumOff val="60000"/>
                            </a:schemeClr>
                          </a:solidFill>
                          <a:ln w="19050">
                            <a:solidFill>
                              <a:srgbClr val="7030A0"/>
                            </a:solidFill>
                          </a:ln>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3.3pt;margin-top:26.75pt;height:330pt;width:421.8pt;z-index:251663360;mso-width-relative:page;mso-height-relative:page;" coordsize="5356777,4191215" o:gfxdata="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">
                <o:lock v:ext="edit" aspectratio="f"/>
                <v:shape id="Abrir llave 30" o:spid="_x0000_s1026" o:spt="87" type="#_x0000_t87" style="position:absolute;left:2424347;top:-2424347;height:5098280;width:249585;rotation:-5898240f;v-text-anchor:middle;" filled="f" stroked="t" coordsize="21600,21600" o:gfxdata="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lMzjrsAAADb&#10;AAAADwAAAAAAAAABACAAAAAiAAAAZHJzL2Rvd25yZXYueG1sUEsBAhQAFAAAAAgAh07iQDMvBZ47&#10;AAAAOQAAABAAAAAAAAAAAQAgAAAACgEAAGRycy9zaGFwZXhtbC54bWxQSwUGAAAAAAYABgBbAQAA&#10;tAMAAAAA&#10;" adj="88,10800">
                  <v:fill on="f" focussize="0,0"/>
                  <v:stroke weight="0.5pt" color="#ED7D31 [3205]" miterlimit="8" joinstyle="miter"/>
                  <v:imagedata o:title=""/>
                  <o:lock v:ext="edit" aspectratio="f"/>
                </v:shape>
                <v:shape id="Llamada rectangular redondeada 31" o:spid="_x0000_s1026" o:spt="62" type="#_x0000_t62" style="position:absolute;left:185972;top:385528;height:508635;width:2044065;v-text-anchor:middle;" fillcolor="#E2F0D9 [665]" filled="t" stroked="t" coordsize="21600,21600" o:gfxdata="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ymyG74A&#10;AADbAAAADwAAAAAAAAABACAAAAAiAAAAZHJzL2Rvd25yZXYueG1sUEsBAhQAFAAAAAgAh07iQDMv&#10;BZ47AAAAOQAAABAAAAAAAAAAAQAgAAAADQEAAGRycy9zaGFwZXhtbC54bWxQSwUGAAAAAAYABgBb&#10;AQAAtwMAAAAA&#10;" adj="6209,33092,14400">
                  <v:fill on="t" focussize="0,0"/>
                  <v:stroke weight="1pt" color="#70AD47 [3209]" miterlimit="8" joinstyle="miter"/>
                  <v:imagedata o:title=""/>
                  <o:lock v:ext="edit" aspectratio="f"/>
                  <v:textbox>
                    <w:txbxContent>
                      <w:p w14:paraId="74396698">
                        <w:pPr>
                          <w:jc w:val="center"/>
                          <w:rPr>
                            <w:color w:val="000000" w:themeColor="text1"/>
                            <w14:textFill>
                              <w14:solidFill>
                                <w14:schemeClr w14:val="tx1"/>
                              </w14:solidFill>
                            </w14:textFill>
                          </w:rPr>
                        </w:pPr>
                        <w:r>
                          <w:rPr>
                            <w:color w:val="000000" w:themeColor="text1"/>
                            <w14:textFill>
                              <w14:solidFill>
                                <w14:schemeClr w14:val="tx1"/>
                              </w14:solidFill>
                            </w14:textFill>
                          </w:rPr>
                          <w:t>Etapas del SARLAFT</w:t>
                        </w:r>
                      </w:p>
                    </w:txbxContent>
                  </v:textbox>
                </v:shape>
                <v:shape id="_x0000_s1026" o:spid="_x0000_s1026" o:spt="62" type="#_x0000_t62" style="position:absolute;left:2919647;top:395053;height:508635;width:2044065;v-text-anchor:middle;" fillcolor="#E2F0D9 [665]" filled="t" stroked="t" coordsize="21600,21600" o:gfxdata="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OI8Ue5AAAA2wAA&#10;AA8AAAAAAAAAAQAgAAAAIgAAAGRycy9kb3ducmV2LnhtbFBLAQIUABQAAAAIAIdO4kAzLwWeOwAA&#10;ADkAAAAQAAAAAAAAAAEAIAAAAAgBAABkcnMvc2hhcGV4bWwueG1sUEsFBgAAAAAGAAYAWwEAALID&#10;AAAAAA==&#10;" adj="6391,33825,14400">
                  <v:fill on="t" focussize="0,0"/>
                  <v:stroke weight="1pt" color="#70AD47 [3209]" miterlimit="8" joinstyle="miter"/>
                  <v:imagedata o:title=""/>
                  <o:lock v:ext="edit" aspectratio="f"/>
                  <v:textbox>
                    <w:txbxContent>
                      <w:p w14:paraId="7FF479C6">
                        <w:pPr>
                          <w:jc w:val="center"/>
                          <w:rPr>
                            <w:color w:val="000000" w:themeColor="text1"/>
                            <w14:textFill>
                              <w14:solidFill>
                                <w14:schemeClr w14:val="tx1"/>
                              </w14:solidFill>
                            </w14:textFill>
                          </w:rPr>
                        </w:pPr>
                        <w:r>
                          <w:rPr>
                            <w:color w:val="000000" w:themeColor="text1"/>
                            <w14:textFill>
                              <w14:solidFill>
                                <w14:schemeClr w14:val="tx1"/>
                              </w14:solidFill>
                            </w14:textFill>
                          </w:rPr>
                          <w:t>Elementos del SARLAFT</w:t>
                        </w:r>
                      </w:p>
                    </w:txbxContent>
                  </v:textbox>
                </v:shape>
                <v:roundrect id="_x0000_s1026" o:spid="_x0000_s1026" o:spt="2" style="position:absolute;left:4997;top:1214203;height:810260;width:2397808;v-text-anchor:middle;" fillcolor="#FFFFFF [3201]" filled="t" stroked="t" coordsize="21600,21600" arcsize="0.166666666666667" o:gfxdata="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xfXfe8AAAA&#10;2wAAAA8AAAAAAAAAAQAgAAAAIgAAAGRycy9kb3ducmV2LnhtbFBLAQIUABQAAAAIAIdO4kAzLwWe&#10;OwAAADkAAAAQAAAAAAAAAAEAIAAAAAsBAABkcnMvc2hhcGV4bWwueG1sUEsFBgAAAAAGAAYAWwEA&#10;ALUDAAAAAA==&#10;">
                  <v:fill on="t" focussize="0,0"/>
                  <v:stroke weight="1pt" color="#ED7D31 [3205]" miterlimit="8" joinstyle="miter"/>
                  <v:imagedata o:title=""/>
                  <o:lock v:ext="edit" aspectratio="f"/>
                  <v:textbox>
                    <w:txbxContent>
                      <w:p w14:paraId="0A038B72">
                        <w:pPr>
                          <w:jc w:val="center"/>
                          <w:rPr>
                            <w:sz w:val="20"/>
                            <w:szCs w:val="20"/>
                          </w:rPr>
                        </w:pPr>
                        <w:r>
                          <w:rPr>
                            <w:rFonts w:ascii="Century Gothic" w:hAnsi="Century Gothic" w:cs="Arial"/>
                            <w:color w:val="000000"/>
                            <w:sz w:val="20"/>
                            <w:szCs w:val="20"/>
                          </w:rPr>
                          <w:t>Son las fases mediante las cuales la entidad administra el riesgo de LA/FT a saber</w:t>
                        </w:r>
                      </w:p>
                    </w:txbxContent>
                  </v:textbox>
                </v:roundrect>
                <v:shape id="Abrir llave 45" o:spid="_x0000_s1026" o:spt="87" type="#_x0000_t87" style="position:absolute;left:366947;top:2300053;height:793630;width:181155;v-text-anchor:middle;" filled="f" stroked="t" coordsize="21600,21600" o:gfxdata="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ML03q/&#10;AAAA2wAAAA8AAAAAAAAAAQAgAAAAIgAAAGRycy9kb3ducmV2LnhtbFBLAQIUABQAAAAIAIdO4kAz&#10;LwWeOwAAADkAAAAQAAAAAAAAAAEAIAAAAA4BAABkcnMvc2hhcGV4bWwueG1sUEsFBgAAAAAGAAYA&#10;WwEAALgDAAAAAA==&#10;" adj="410,10800">
                  <v:fill on="f" focussize="0,0"/>
                  <v:stroke weight="1.5pt" color="#70AD47 [3209]" miterlimit="8" joinstyle="miter"/>
                  <v:imagedata o:title=""/>
                  <o:lock v:ext="edit" aspectratio="f"/>
                </v:shape>
                <v:roundrect id="_x0000_s1026" o:spid="_x0000_s1026" o:spt="2" style="position:absolute;left:700322;top:2309578;height:853440;width:1492370;v-text-anchor:middle;" filled="f" stroked="f" coordsize="21600,21600" arcsize="0.166666666666667" o:gfxdata="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16Gb4A&#10;AADbAAAADwAAAAAAAAABACAAAAAiAAAAZHJzL2Rvd25yZXYueG1sUEsBAhQAFAAAAAgAh07iQDMv&#10;BZ47AAAAOQAAABAAAAAAAAAAAQAgAAAADQEAAGRycy9zaGFwZXhtbC54bWxQSwUGAAAAAAYABgBb&#10;AQAAtwMAAAAA&#10;">
                  <v:fill on="f" focussize="0,0"/>
                  <v:stroke on="f" weight="1.5pt" miterlimit="8" joinstyle="miter"/>
                  <v:imagedata o:title=""/>
                  <o:lock v:ext="edit" aspectratio="f"/>
                  <v:textbox>
                    <w:txbxContent>
                      <w:p w14:paraId="0F7F6E5C">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Identificación </w:t>
                        </w:r>
                      </w:p>
                      <w:p w14:paraId="26B966B0">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Medición </w:t>
                        </w:r>
                      </w:p>
                      <w:p w14:paraId="31A5284F">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Control y </w:t>
                        </w:r>
                      </w:p>
                      <w:p w14:paraId="28082549">
                        <w:pPr>
                          <w:numPr>
                            <w:ilvl w:val="0"/>
                            <w:numId w:val="28"/>
                          </w:numPr>
                          <w:rPr>
                            <w:rFonts w:ascii="Century Gothic" w:hAnsi="Century Gothic" w:cs="Arial"/>
                            <w:color w:val="000000"/>
                            <w:sz w:val="20"/>
                            <w:szCs w:val="20"/>
                          </w:rPr>
                        </w:pPr>
                        <w:r>
                          <w:rPr>
                            <w:rFonts w:ascii="Century Gothic" w:hAnsi="Century Gothic" w:cs="Arial"/>
                            <w:color w:val="000000"/>
                            <w:sz w:val="20"/>
                            <w:szCs w:val="20"/>
                          </w:rPr>
                          <w:t>Monitoreo</w:t>
                        </w:r>
                      </w:p>
                    </w:txbxContent>
                  </v:textbox>
                </v:roundrect>
                <v:roundrect id="_x0000_s1026" o:spid="_x0000_s1026" o:spt="2" style="position:absolute;left:2776772;top:1214203;height:810884;width:2579298;v-text-anchor:middle;" fillcolor="#FFFFFF [3201]" filled="t" stroked="t" coordsize="21600,21600" arcsize="0.166666666666667" o:gfxdata="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jcOAvQAA&#10;ANsAAAAPAAAAAAAAAAEAIAAAACIAAABkcnMvZG93bnJldi54bWxQSwECFAAUAAAACACHTuJAMy8F&#10;njsAAAA5AAAAEAAAAAAAAAABACAAAAAMAQAAZHJzL3NoYXBleG1sLnhtbFBLBQYAAAAABgAGAFsB&#10;AAC2AwAAAAA=&#10;">
                  <v:fill on="t" focussize="0,0"/>
                  <v:stroke weight="1pt" color="#ED7D31 [3205]" miterlimit="8" joinstyle="miter"/>
                  <v:imagedata o:title=""/>
                  <o:lock v:ext="edit" aspectratio="f"/>
                  <v:textbox>
                    <w:txbxContent>
                      <w:p w14:paraId="024C8554">
                        <w:pPr>
                          <w:jc w:val="center"/>
                          <w:rPr>
                            <w:sz w:val="20"/>
                            <w:szCs w:val="20"/>
                          </w:rPr>
                        </w:pPr>
                        <w:r>
                          <w:rPr>
                            <w:rFonts w:ascii="Century Gothic" w:hAnsi="Century Gothic" w:cs="Arial"/>
                            <w:color w:val="000000"/>
                            <w:sz w:val="20"/>
                            <w:szCs w:val="20"/>
                          </w:rPr>
                          <w:t>Son el conjunto de componentes a través de los cuales se instrumenta la administración del riesgo de LA/FT en las etapas del SARLAFT, a saber</w:t>
                        </w:r>
                      </w:p>
                    </w:txbxContent>
                  </v:textbox>
                </v:roundrect>
                <v:roundrect id="_x0000_s1026" o:spid="_x0000_s1026" o:spt="2" style="position:absolute;left:3338747;top:2138128;height:2053087;width:2018030;v-text-anchor:middle;" filled="f" stroked="f" coordsize="21600,21600" arcsize="0.166666666666667" o:gfxdata="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HRK7sAAADb&#10;AAAADwAAAAAAAAABACAAAAAiAAAAZHJzL2Rvd25yZXYueG1sUEsBAhQAFAAAAAgAh07iQDMvBZ47&#10;AAAAOQAAABAAAAAAAAAAAQAgAAAACgEAAGRycy9zaGFwZXhtbC54bWxQSwUGAAAAAAYABgBbAQAA&#10;tAMAAAAA&#10;">
                  <v:fill on="f" focussize="0,0"/>
                  <v:stroke on="f" weight="1.5pt" miterlimit="8" joinstyle="miter"/>
                  <v:imagedata o:title=""/>
                  <o:lock v:ext="edit" aspectratio="f"/>
                  <v:textbox>
                    <w:txbxContent>
                      <w:p w14:paraId="3C91C788">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Políticas </w:t>
                        </w:r>
                      </w:p>
                      <w:p w14:paraId="3FA090CF">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Procedimientos </w:t>
                        </w:r>
                      </w:p>
                      <w:p w14:paraId="0DE03E54">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Documentación </w:t>
                        </w:r>
                      </w:p>
                      <w:p w14:paraId="6EC3C9EB">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Estructura organizacional </w:t>
                        </w:r>
                      </w:p>
                      <w:p w14:paraId="68263F6B">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Órganos de control </w:t>
                        </w:r>
                      </w:p>
                      <w:p w14:paraId="1E5BE03D">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Infraestructura tecnológica </w:t>
                        </w:r>
                      </w:p>
                      <w:p w14:paraId="45B63B02">
                        <w:pPr>
                          <w:numPr>
                            <w:ilvl w:val="0"/>
                            <w:numId w:val="28"/>
                          </w:numPr>
                          <w:rPr>
                            <w:rFonts w:ascii="Century Gothic" w:hAnsi="Century Gothic" w:cs="Arial"/>
                            <w:color w:val="000000"/>
                            <w:sz w:val="20"/>
                            <w:szCs w:val="20"/>
                          </w:rPr>
                        </w:pPr>
                        <w:r>
                          <w:rPr>
                            <w:rFonts w:ascii="Century Gothic" w:hAnsi="Century Gothic" w:cs="Arial"/>
                            <w:color w:val="000000"/>
                            <w:sz w:val="20"/>
                            <w:szCs w:val="20"/>
                          </w:rPr>
                          <w:t xml:space="preserve">Divulgación de información </w:t>
                        </w:r>
                      </w:p>
                      <w:p w14:paraId="7B029410">
                        <w:pPr>
                          <w:numPr>
                            <w:ilvl w:val="0"/>
                            <w:numId w:val="28"/>
                          </w:numPr>
                          <w:rPr>
                            <w:rFonts w:ascii="Century Gothic" w:hAnsi="Century Gothic" w:cs="Arial"/>
                            <w:color w:val="000000"/>
                            <w:sz w:val="20"/>
                            <w:szCs w:val="20"/>
                          </w:rPr>
                        </w:pPr>
                        <w:r>
                          <w:rPr>
                            <w:rFonts w:ascii="Century Gothic" w:hAnsi="Century Gothic" w:cs="Arial"/>
                            <w:color w:val="000000"/>
                            <w:sz w:val="20"/>
                            <w:szCs w:val="20"/>
                          </w:rPr>
                          <w:t>Capacitación</w:t>
                        </w:r>
                      </w:p>
                    </w:txbxContent>
                  </v:textbox>
                </v:roundrect>
                <v:shape id="Abrir llave 59" o:spid="_x0000_s1026" o:spt="87" type="#_x0000_t87" style="position:absolute;left:3072047;top:2261953;height:1785632;width:267419;v-text-anchor:middle;" filled="f" stroked="t" coordsize="21600,21600" o:gfxdata="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r6We8AAAA&#10;2wAAAA8AAAAAAAAAAQAgAAAAIgAAAGRycy9kb3ducmV2LnhtbFBLAQIUABQAAAAIAIdO4kAzLwWe&#10;OwAAADkAAAAQAAAAAAAAAAEAIAAAAAsBAABkcnMvc2hhcGV4bWwueG1sUEsFBgAAAAAGAAYAWwEA&#10;ALUDAAAAAA==&#10;" adj="269,10800">
                  <v:fill on="f" focussize="0,0"/>
                  <v:stroke weight="1.5pt" color="#70AD47 [3209]" miterlimit="8" joinstyle="miter"/>
                  <v:imagedata o:title=""/>
                  <o:lock v:ext="edit" aspectratio="f"/>
                </v:shape>
                <v:shape id="_x0000_s1026" o:spid="_x0000_s1026" o:spt="13" type="#_x0000_t13" style="position:absolute;left:700322;top:2033353;height:232913;width:224287;rotation:5898240f;v-text-anchor:middle;" fillcolor="#ADB9CA [1311]" filled="t" stroked="t" coordsize="21600,21600" o:gfxdata="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c+xLb4A&#10;AADbAAAADwAAAAAAAAABACAAAAAiAAAAZHJzL2Rvd25yZXYueG1sUEsBAhQAFAAAAAgAh07iQDMv&#10;BZ47AAAAOQAAABAAAAAAAAAAAQAgAAAADQEAAGRycy9zaGFwZXhtbC54bWxQSwUGAAAAAAYABgBb&#10;AQAAtwMAAAAA&#10;" adj="10800,5400">
                  <v:fill on="t" focussize="0,0"/>
                  <v:stroke weight="1.5pt" color="#7030A0 [3204]" miterlimit="8" joinstyle="miter"/>
                  <v:imagedata o:title=""/>
                  <o:lock v:ext="edit" aspectratio="f"/>
                </v:shape>
                <v:shape id="_x0000_s1026" o:spid="_x0000_s1026" o:spt="13" type="#_x0000_t13" style="position:absolute;left:3348272;top:2033353;height:232913;width:224287;rotation:5898240f;v-text-anchor:middle;" fillcolor="#ADB9CA [1311]" filled="t" stroked="t" coordsize="21600,21600" o:gfxdata="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0dL1q8AAAA&#10;2wAAAA8AAAAAAAAAAQAgAAAAIgAAAGRycy9kb3ducmV2LnhtbFBLAQIUABQAAAAIAIdO4kAzLwWe&#10;OwAAADkAAAAQAAAAAAAAAAEAIAAAAAsBAABkcnMvc2hhcGV4bWwueG1sUEsFBgAAAAAGAAYAWwEA&#10;ALUDAAAAAA==&#10;" adj="10800,5400">
                  <v:fill on="t" focussize="0,0"/>
                  <v:stroke weight="1.5pt" color="#7030A0 [3204]" miterlimit="8" joinstyle="miter"/>
                  <v:imagedata o:title=""/>
                  <o:lock v:ext="edit" aspectratio="f"/>
                </v:shape>
              </v:group>
            </w:pict>
          </mc:Fallback>
        </mc:AlternateContent>
      </w:r>
      <w:r>
        <w:rPr>
          <w:rFonts w:ascii="Century Gothic" w:hAnsi="Century Gothic" w:cs="Arial"/>
          <w:color w:val="000000"/>
          <w:sz w:val="22"/>
          <w:szCs w:val="22"/>
        </w:rPr>
        <w:t>Conforme con lo anterior, el Sistema de Administración del Riesgo de Lavado de Activos y Financiación del Terrorismo se compone de:</w:t>
      </w:r>
    </w:p>
    <w:p w14:paraId="345CE600">
      <w:pPr>
        <w:rPr>
          <w:rFonts w:ascii="Century Gothic" w:hAnsi="Century Gothic" w:cs="Arial"/>
          <w:color w:val="000000"/>
          <w:sz w:val="22"/>
          <w:szCs w:val="22"/>
        </w:rPr>
      </w:pPr>
    </w:p>
    <w:p w14:paraId="6AF05BC6">
      <w:pPr>
        <w:rPr>
          <w:rFonts w:ascii="Century Gothic" w:hAnsi="Century Gothic" w:cs="Arial"/>
          <w:color w:val="000000"/>
          <w:sz w:val="22"/>
          <w:szCs w:val="22"/>
        </w:rPr>
      </w:pPr>
    </w:p>
    <w:p w14:paraId="21FDA99A">
      <w:pPr>
        <w:rPr>
          <w:rFonts w:ascii="Century Gothic" w:hAnsi="Century Gothic" w:cs="Arial"/>
          <w:color w:val="000000"/>
          <w:sz w:val="22"/>
          <w:szCs w:val="22"/>
        </w:rPr>
      </w:pPr>
    </w:p>
    <w:p w14:paraId="1B60375D">
      <w:pPr>
        <w:rPr>
          <w:rFonts w:ascii="Century Gothic" w:hAnsi="Century Gothic" w:cs="Arial"/>
          <w:color w:val="000000"/>
          <w:sz w:val="22"/>
          <w:szCs w:val="22"/>
        </w:rPr>
      </w:pPr>
    </w:p>
    <w:p w14:paraId="5538AA06">
      <w:pPr>
        <w:rPr>
          <w:rFonts w:ascii="Century Gothic" w:hAnsi="Century Gothic" w:cs="Arial"/>
          <w:sz w:val="22"/>
          <w:szCs w:val="22"/>
          <w:lang w:val="es-ES"/>
        </w:rPr>
      </w:pPr>
    </w:p>
    <w:p w14:paraId="79DF8DB4">
      <w:pPr>
        <w:rPr>
          <w:rFonts w:ascii="Century Gothic" w:hAnsi="Century Gothic" w:cs="Arial"/>
          <w:sz w:val="22"/>
          <w:szCs w:val="22"/>
          <w:lang w:val="es-ES"/>
        </w:rPr>
      </w:pPr>
    </w:p>
    <w:p w14:paraId="104C3751">
      <w:pPr>
        <w:rPr>
          <w:rFonts w:ascii="Century Gothic" w:hAnsi="Century Gothic" w:cs="Arial"/>
          <w:sz w:val="22"/>
          <w:szCs w:val="22"/>
          <w:lang w:val="es-ES"/>
        </w:rPr>
      </w:pPr>
    </w:p>
    <w:p w14:paraId="56F2DAE4">
      <w:pPr>
        <w:rPr>
          <w:rFonts w:ascii="Century Gothic" w:hAnsi="Century Gothic" w:cs="Arial"/>
          <w:sz w:val="22"/>
          <w:szCs w:val="22"/>
          <w:lang w:val="es-ES"/>
        </w:rPr>
      </w:pPr>
    </w:p>
    <w:p w14:paraId="3DC44D12">
      <w:pPr>
        <w:rPr>
          <w:rFonts w:ascii="Century Gothic" w:hAnsi="Century Gothic" w:cs="Arial"/>
          <w:color w:val="000000"/>
          <w:sz w:val="22"/>
          <w:szCs w:val="22"/>
        </w:rPr>
      </w:pPr>
    </w:p>
    <w:p w14:paraId="2ECD8920">
      <w:pPr>
        <w:rPr>
          <w:rFonts w:ascii="Century Gothic" w:hAnsi="Century Gothic" w:cs="Arial"/>
          <w:color w:val="000000"/>
          <w:sz w:val="22"/>
          <w:szCs w:val="22"/>
          <w:u w:val="single"/>
        </w:rPr>
      </w:pPr>
    </w:p>
    <w:p w14:paraId="1E126572">
      <w:pPr>
        <w:rPr>
          <w:rFonts w:ascii="Century Gothic" w:hAnsi="Century Gothic" w:cs="Arial"/>
          <w:color w:val="000000"/>
          <w:sz w:val="22"/>
          <w:szCs w:val="22"/>
          <w:u w:val="single"/>
        </w:rPr>
      </w:pPr>
    </w:p>
    <w:p w14:paraId="42CA9191">
      <w:pPr>
        <w:rPr>
          <w:rFonts w:ascii="Century Gothic" w:hAnsi="Century Gothic" w:cs="Arial"/>
          <w:color w:val="000000"/>
          <w:sz w:val="22"/>
          <w:szCs w:val="22"/>
          <w:u w:val="single"/>
        </w:rPr>
      </w:pPr>
    </w:p>
    <w:p w14:paraId="703F48A1">
      <w:pPr>
        <w:rPr>
          <w:rFonts w:ascii="Century Gothic" w:hAnsi="Century Gothic" w:cs="Arial"/>
          <w:color w:val="000000"/>
          <w:sz w:val="22"/>
          <w:szCs w:val="22"/>
          <w:u w:val="single"/>
        </w:rPr>
      </w:pPr>
    </w:p>
    <w:p w14:paraId="46D24A57">
      <w:pPr>
        <w:rPr>
          <w:rFonts w:ascii="Century Gothic" w:hAnsi="Century Gothic" w:cs="Arial"/>
          <w:color w:val="000000"/>
          <w:sz w:val="22"/>
          <w:szCs w:val="22"/>
          <w:u w:val="single"/>
        </w:rPr>
      </w:pPr>
    </w:p>
    <w:p w14:paraId="0C7ABD35">
      <w:pPr>
        <w:rPr>
          <w:rFonts w:ascii="Century Gothic" w:hAnsi="Century Gothic" w:cs="Arial"/>
          <w:color w:val="000000"/>
          <w:sz w:val="22"/>
          <w:szCs w:val="22"/>
          <w:u w:val="single"/>
        </w:rPr>
      </w:pPr>
    </w:p>
    <w:p w14:paraId="5BB9464F">
      <w:pPr>
        <w:rPr>
          <w:rFonts w:ascii="Century Gothic" w:hAnsi="Century Gothic" w:cs="Arial"/>
          <w:color w:val="000000"/>
          <w:sz w:val="22"/>
          <w:szCs w:val="22"/>
          <w:u w:val="single"/>
        </w:rPr>
      </w:pPr>
    </w:p>
    <w:p w14:paraId="6DCB3D68">
      <w:pPr>
        <w:rPr>
          <w:rFonts w:ascii="Century Gothic" w:hAnsi="Century Gothic" w:cs="Arial"/>
          <w:color w:val="000000"/>
          <w:sz w:val="22"/>
          <w:szCs w:val="22"/>
        </w:rPr>
      </w:pPr>
    </w:p>
    <w:p w14:paraId="28FFB086">
      <w:pPr>
        <w:ind w:left="644"/>
        <w:rPr>
          <w:rFonts w:ascii="Century Gothic" w:hAnsi="Century Gothic" w:cs="Arial"/>
          <w:color w:val="000000"/>
          <w:sz w:val="22"/>
          <w:szCs w:val="22"/>
        </w:rPr>
      </w:pPr>
    </w:p>
    <w:p w14:paraId="7423D453">
      <w:pPr>
        <w:ind w:left="644"/>
        <w:rPr>
          <w:rFonts w:ascii="Century Gothic" w:hAnsi="Century Gothic" w:cs="Arial"/>
          <w:color w:val="000000"/>
          <w:sz w:val="22"/>
          <w:szCs w:val="22"/>
        </w:rPr>
      </w:pPr>
    </w:p>
    <w:p w14:paraId="1D957794">
      <w:pPr>
        <w:ind w:left="644"/>
        <w:rPr>
          <w:rFonts w:ascii="Century Gothic" w:hAnsi="Century Gothic" w:cs="Arial"/>
          <w:color w:val="000000"/>
          <w:sz w:val="22"/>
          <w:szCs w:val="22"/>
        </w:rPr>
      </w:pPr>
    </w:p>
    <w:p w14:paraId="0A193353">
      <w:pPr>
        <w:ind w:left="644"/>
        <w:rPr>
          <w:rFonts w:ascii="Century Gothic" w:hAnsi="Century Gothic" w:cs="Arial"/>
          <w:color w:val="000000"/>
          <w:sz w:val="22"/>
          <w:szCs w:val="22"/>
        </w:rPr>
      </w:pPr>
    </w:p>
    <w:p w14:paraId="03D2A05E">
      <w:pPr>
        <w:ind w:left="644"/>
        <w:rPr>
          <w:rFonts w:ascii="Century Gothic" w:hAnsi="Century Gothic" w:cs="Arial"/>
          <w:color w:val="000000"/>
          <w:sz w:val="22"/>
          <w:szCs w:val="22"/>
        </w:rPr>
      </w:pPr>
    </w:p>
    <w:p w14:paraId="425EE5E1">
      <w:pPr>
        <w:rPr>
          <w:rFonts w:ascii="Century Gothic" w:hAnsi="Century Gothic" w:cs="Arial"/>
          <w:color w:val="000000"/>
          <w:sz w:val="22"/>
          <w:szCs w:val="22"/>
        </w:rPr>
      </w:pPr>
    </w:p>
    <w:p w14:paraId="4DA5B743">
      <w:pPr>
        <w:rPr>
          <w:rFonts w:ascii="Century Gothic" w:hAnsi="Century Gothic" w:cs="Arial"/>
          <w:color w:val="000000"/>
          <w:sz w:val="22"/>
          <w:szCs w:val="22"/>
        </w:rPr>
      </w:pPr>
    </w:p>
    <w:p w14:paraId="69746CF7">
      <w:pPr>
        <w:rPr>
          <w:rFonts w:ascii="Century Gothic" w:hAnsi="Century Gothic" w:cs="Arial"/>
          <w:color w:val="000000"/>
          <w:sz w:val="22"/>
          <w:szCs w:val="22"/>
        </w:rPr>
      </w:pPr>
    </w:p>
    <w:p w14:paraId="32852197">
      <w:pPr>
        <w:autoSpaceDE w:val="0"/>
        <w:autoSpaceDN w:val="0"/>
        <w:adjustRightInd w:val="0"/>
        <w:rPr>
          <w:rFonts w:ascii="Century Gothic" w:hAnsi="Century Gothic" w:cs="Helvetica" w:eastAsiaTheme="minorHAnsi"/>
          <w:sz w:val="22"/>
          <w:szCs w:val="22"/>
          <w:lang w:eastAsia="en-US"/>
        </w:rPr>
      </w:pPr>
      <w:r>
        <w:rPr>
          <w:rFonts w:ascii="Century Gothic" w:hAnsi="Century Gothic" w:cs="Arial"/>
          <w:color w:val="000000"/>
          <w:sz w:val="22"/>
          <w:szCs w:val="22"/>
        </w:rPr>
        <w:t>Para el caso particular  y en atención a lo señalado en la circular externa Nro. 14 del 12 de Diciembre de 2018, nuestra Entidad acata las disposiciones contenidas en el numeral 2.2., del capítulo</w:t>
      </w:r>
      <w:r>
        <w:rPr>
          <w:rFonts w:ascii="Century Gothic" w:hAnsi="Century Gothic" w:cs="Helvetica" w:eastAsiaTheme="minorHAnsi"/>
          <w:sz w:val="22"/>
          <w:szCs w:val="22"/>
          <w:lang w:eastAsia="en-US"/>
        </w:rPr>
        <w:t xml:space="preserve"> XVII del Título V de la Circular Básica Jurídica, Circular Externa 06 de 2015. </w:t>
      </w:r>
    </w:p>
    <w:p w14:paraId="386659E0">
      <w:pPr>
        <w:autoSpaceDE w:val="0"/>
        <w:autoSpaceDN w:val="0"/>
        <w:adjustRightInd w:val="0"/>
        <w:rPr>
          <w:rFonts w:ascii="Century Gothic" w:hAnsi="Century Gothic" w:cs="Helvetica" w:eastAsiaTheme="minorHAnsi"/>
          <w:sz w:val="22"/>
          <w:szCs w:val="22"/>
          <w:lang w:eastAsia="en-US"/>
        </w:rPr>
      </w:pPr>
    </w:p>
    <w:p w14:paraId="5844DA4A">
      <w:pPr>
        <w:autoSpaceDE w:val="0"/>
        <w:autoSpaceDN w:val="0"/>
        <w:adjustRightInd w:val="0"/>
        <w:rPr>
          <w:rFonts w:ascii="Century Gothic" w:hAnsi="Century Gothic" w:cs="Helvetica" w:eastAsiaTheme="minorHAnsi"/>
          <w:sz w:val="22"/>
          <w:szCs w:val="22"/>
          <w:lang w:eastAsia="en-US"/>
        </w:rPr>
      </w:pPr>
      <w:r>
        <w:rPr>
          <w:rFonts w:ascii="Century Gothic" w:hAnsi="Century Gothic" w:cs="Helvetica" w:eastAsiaTheme="minorHAnsi"/>
          <w:sz w:val="22"/>
          <w:szCs w:val="22"/>
          <w:lang w:eastAsia="en-US"/>
        </w:rPr>
        <w:t>Lo anterior, por cuanto nuestra entidad se encuentra dentro de las organizaciones mencionadas en el numeral 1.2 del ámbito de aplicación de dicho capítulo  y por ende tendrá en cuenta únicamente los elementos del SARLAFT:</w:t>
      </w:r>
    </w:p>
    <w:bookmarkEnd w:id="52"/>
    <w:bookmarkEnd w:id="53"/>
    <w:p w14:paraId="5CC1F160">
      <w:pPr>
        <w:pStyle w:val="4"/>
        <w:numPr>
          <w:ilvl w:val="1"/>
          <w:numId w:val="8"/>
        </w:numPr>
        <w:rPr>
          <w:rFonts w:ascii="Century Gothic" w:hAnsi="Century Gothic"/>
          <w:sz w:val="22"/>
          <w:szCs w:val="22"/>
          <w:lang w:val="es-ES"/>
        </w:rPr>
      </w:pPr>
      <w:bookmarkStart w:id="143" w:name="_GoBack"/>
      <w:bookmarkEnd w:id="143"/>
      <w:bookmarkStart w:id="54" w:name="_Toc367950348"/>
      <w:bookmarkStart w:id="55" w:name="_Toc443895677"/>
      <w:bookmarkStart w:id="56" w:name="_Toc367949808"/>
      <w:bookmarkStart w:id="57" w:name="_Toc367082210"/>
      <w:bookmarkStart w:id="58" w:name="_Toc367082271"/>
      <w:bookmarkStart w:id="59" w:name="_Toc367082326"/>
      <w:bookmarkStart w:id="60" w:name="_Toc366773070"/>
      <w:bookmarkStart w:id="61" w:name="_Toc367082387"/>
      <w:bookmarkStart w:id="62" w:name="_Toc367974426"/>
      <w:bookmarkStart w:id="63" w:name="_Toc366772942"/>
      <w:bookmarkStart w:id="64" w:name="_Toc367975102"/>
      <w:bookmarkStart w:id="65" w:name="_Toc367082146"/>
      <w:bookmarkStart w:id="66" w:name="_Toc366773009"/>
      <w:r>
        <w:rPr>
          <w:rFonts w:ascii="Century Gothic" w:hAnsi="Century Gothic"/>
          <w:sz w:val="22"/>
          <w:szCs w:val="22"/>
          <w:lang w:val="es-ES"/>
        </w:rPr>
        <w:t>ELEMENTOS DEL SARLAFT</w:t>
      </w:r>
    </w:p>
    <w:p w14:paraId="1755D029">
      <w:pPr>
        <w:pStyle w:val="4"/>
        <w:numPr>
          <w:ilvl w:val="2"/>
          <w:numId w:val="8"/>
        </w:numPr>
        <w:rPr>
          <w:rFonts w:ascii="Century Gothic" w:hAnsi="Century Gothic"/>
          <w:sz w:val="22"/>
          <w:szCs w:val="22"/>
          <w:lang w:val="es-ES"/>
        </w:rPr>
      </w:pPr>
      <w:r>
        <w:rPr>
          <w:rFonts w:ascii="Century Gothic" w:hAnsi="Century Gothic"/>
          <w:sz w:val="22"/>
          <w:szCs w:val="22"/>
          <w:lang w:val="es-ES"/>
        </w:rPr>
        <w:t>POLÍTICAS</w:t>
      </w:r>
      <w:bookmarkEnd w:id="54"/>
      <w:bookmarkEnd w:id="55"/>
      <w:bookmarkEnd w:id="56"/>
      <w:bookmarkEnd w:id="57"/>
      <w:bookmarkEnd w:id="58"/>
      <w:bookmarkEnd w:id="59"/>
      <w:bookmarkEnd w:id="60"/>
      <w:bookmarkEnd w:id="61"/>
      <w:bookmarkEnd w:id="62"/>
      <w:bookmarkEnd w:id="63"/>
      <w:bookmarkEnd w:id="64"/>
      <w:bookmarkEnd w:id="65"/>
      <w:bookmarkEnd w:id="66"/>
      <w:r>
        <w:rPr>
          <w:rFonts w:ascii="Century Gothic" w:hAnsi="Century Gothic"/>
          <w:sz w:val="22"/>
          <w:szCs w:val="22"/>
          <w:lang w:val="es-ES"/>
        </w:rPr>
        <w:t xml:space="preserve"> </w:t>
      </w:r>
    </w:p>
    <w:p w14:paraId="4A80BA14">
      <w:pPr>
        <w:rPr>
          <w:rFonts w:ascii="Century Gothic" w:hAnsi="Century Gothic"/>
          <w:sz w:val="22"/>
          <w:szCs w:val="22"/>
          <w:lang w:val="es-ES"/>
        </w:rPr>
      </w:pPr>
    </w:p>
    <w:p w14:paraId="199A8EE7">
      <w:pPr>
        <w:pStyle w:val="65"/>
        <w:numPr>
          <w:ilvl w:val="3"/>
          <w:numId w:val="8"/>
        </w:numPr>
        <w:rPr>
          <w:rFonts w:ascii="Century Gothic" w:hAnsi="Century Gothic"/>
          <w:b/>
          <w:sz w:val="22"/>
          <w:szCs w:val="22"/>
        </w:rPr>
      </w:pPr>
      <w:r>
        <w:rPr>
          <w:rFonts w:ascii="Century Gothic" w:hAnsi="Century Gothic"/>
          <w:b/>
          <w:sz w:val="22"/>
          <w:szCs w:val="22"/>
        </w:rPr>
        <w:t>POLITICAS GENERALES</w:t>
      </w:r>
    </w:p>
    <w:p w14:paraId="00867E2B">
      <w:pPr>
        <w:contextualSpacing/>
        <w:rPr>
          <w:rFonts w:ascii="Century Gothic" w:hAnsi="Century Gothic" w:cs="Arial"/>
          <w:sz w:val="22"/>
          <w:szCs w:val="22"/>
          <w:lang w:val="es-ES"/>
        </w:rPr>
      </w:pPr>
    </w:p>
    <w:p w14:paraId="42A2F25D">
      <w:pPr>
        <w:contextualSpacing/>
        <w:rPr>
          <w:rFonts w:ascii="Century Gothic" w:hAnsi="Century Gothic" w:cs="ITC Franklin Gothic Std Book"/>
          <w:color w:val="000000"/>
          <w:sz w:val="22"/>
          <w:szCs w:val="22"/>
        </w:rPr>
      </w:pPr>
      <w:r>
        <w:rPr>
          <w:rFonts w:ascii="Century Gothic" w:hAnsi="Century Gothic" w:cs="ITC Franklin Gothic Std Book"/>
          <w:color w:val="000000"/>
          <w:sz w:val="22"/>
          <w:szCs w:val="22"/>
        </w:rPr>
        <w:t>Comprende  los lineamientos y directrices que deben seguirse por parte de los asociados/clientes, miembros del Consejo de Administración, empleados y relacionados contractuales, en materia de prevención y control del riesgo de lavado de activos y la financiación del terrorismo.</w:t>
      </w:r>
    </w:p>
    <w:p w14:paraId="0038C337">
      <w:pPr>
        <w:ind w:left="708"/>
        <w:contextualSpacing/>
        <w:rPr>
          <w:rFonts w:ascii="Century Gothic" w:hAnsi="Century Gothic" w:cs="ITC Franklin Gothic Std Book"/>
          <w:color w:val="000000"/>
          <w:sz w:val="22"/>
          <w:szCs w:val="22"/>
        </w:rPr>
      </w:pPr>
    </w:p>
    <w:p w14:paraId="1CA5C35D">
      <w:pPr>
        <w:contextualSpacing/>
        <w:rPr>
          <w:rFonts w:ascii="Century Gothic" w:hAnsi="Century Gothic" w:cs="Arial"/>
          <w:sz w:val="22"/>
          <w:szCs w:val="22"/>
        </w:rPr>
      </w:pPr>
      <w:r>
        <w:rPr>
          <w:rFonts w:ascii="Century Gothic" w:hAnsi="Century Gothic" w:cs="Arial"/>
          <w:sz w:val="22"/>
          <w:szCs w:val="22"/>
        </w:rPr>
        <w:t>La Entidad para el efectivo funcionamiento del SARLAFT ha establecido las siguientes políticas.</w:t>
      </w:r>
    </w:p>
    <w:p w14:paraId="1E448AF9">
      <w:pPr>
        <w:tabs>
          <w:tab w:val="left" w:pos="3763"/>
        </w:tabs>
        <w:contextualSpacing/>
        <w:rPr>
          <w:rFonts w:ascii="Century Gothic" w:hAnsi="Century Gothic" w:cs="Arial"/>
          <w:sz w:val="22"/>
          <w:szCs w:val="22"/>
        </w:rPr>
      </w:pPr>
      <w:r>
        <w:rPr>
          <w:rFonts w:ascii="Century Gothic" w:hAnsi="Century Gothic" w:cs="Arial"/>
          <w:sz w:val="22"/>
          <w:szCs w:val="22"/>
        </w:rPr>
        <w:tab/>
      </w:r>
    </w:p>
    <w:p w14:paraId="46943F8F">
      <w:pPr>
        <w:pStyle w:val="65"/>
        <w:numPr>
          <w:ilvl w:val="0"/>
          <w:numId w:val="29"/>
        </w:numPr>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 xml:space="preserve">La Entidad, trabaja en la identificación de transacciones que pretendan ser el medio para el  lavado de activos y la financiación del terrorismo, siguiendo los lineamientos gubernamentales e internacionales y en colaboración con las autoridades. </w:t>
      </w:r>
    </w:p>
    <w:p w14:paraId="40572744">
      <w:pPr>
        <w:pStyle w:val="65"/>
        <w:numPr>
          <w:ilvl w:val="0"/>
          <w:numId w:val="29"/>
        </w:numPr>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Los administradores, directivos, organismos de control, el oficial de cumplimiento y los trabajadores de la Entidad están obligados a dar cumplimiento a las políticas y acciones encaminadas a garantizar el adecuado funcionamiento del SARLAFT y a verificar el cumplimiento de los reglamentos internos y de todas las disposiciones relacionadas con el SARLAFT.</w:t>
      </w:r>
    </w:p>
    <w:p w14:paraId="6A8A3F21">
      <w:pPr>
        <w:pStyle w:val="65"/>
        <w:numPr>
          <w:ilvl w:val="0"/>
          <w:numId w:val="29"/>
        </w:numPr>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 xml:space="preserve">La Entidad debe establecer y mantener actualizado el Manual  del SARLAFT, buscando que se proteja a la entidad de ser utilizada directamente o a través de sus operaciones como instrumento para el LA/FT, siguiendo los lineamientos de la Superintendencia de Economía Solidaria y los estándares internacionales sobre la materia, especialmente los proferidos por el GAFI y  el GAFILAT. </w:t>
      </w:r>
    </w:p>
    <w:p w14:paraId="54A4D69D">
      <w:pPr>
        <w:pStyle w:val="65"/>
        <w:numPr>
          <w:ilvl w:val="0"/>
          <w:numId w:val="29"/>
        </w:numPr>
        <w:rPr>
          <w:rFonts w:ascii="Century Gothic" w:hAnsi="Century Gothic" w:cs="Arial" w:eastAsiaTheme="minorHAnsi"/>
          <w:sz w:val="22"/>
          <w:szCs w:val="22"/>
          <w:lang w:val="es-MX" w:eastAsia="en-US"/>
        </w:rPr>
      </w:pPr>
      <w:r>
        <w:rPr>
          <w:rFonts w:ascii="Century Gothic" w:hAnsi="Century Gothic" w:cs="ITC Franklin Gothic Std Book" w:eastAsiaTheme="minorHAnsi"/>
          <w:bCs/>
          <w:color w:val="000000"/>
          <w:sz w:val="22"/>
          <w:szCs w:val="22"/>
          <w:lang w:eastAsia="en-US"/>
        </w:rPr>
        <w:t>La entidad promueve</w:t>
      </w:r>
      <w:r>
        <w:rPr>
          <w:rFonts w:ascii="Century Gothic" w:hAnsi="Century Gothic" w:cs="ITC Franklin Gothic Std Book" w:eastAsiaTheme="minorHAnsi"/>
          <w:color w:val="000000"/>
          <w:sz w:val="22"/>
          <w:szCs w:val="22"/>
          <w:lang w:eastAsia="en-US"/>
        </w:rPr>
        <w:t xml:space="preserve"> y establece dentro de su organización, una cultura institucional en materia de administración del riesgo de lavado de activos y financiación del terrorismo</w:t>
      </w:r>
      <w:r>
        <w:rPr>
          <w:rFonts w:ascii="Century Gothic" w:hAnsi="Century Gothic" w:cs="Arial" w:eastAsiaTheme="minorHAnsi"/>
          <w:sz w:val="22"/>
          <w:szCs w:val="22"/>
          <w:lang w:val="es-MX" w:eastAsia="en-US"/>
        </w:rPr>
        <w:t>, brindando a sus directivos, administradores, órganos de control y trabajadores capacitación sobre dicho tema.</w:t>
      </w:r>
    </w:p>
    <w:p w14:paraId="2019CF63">
      <w:pPr>
        <w:pStyle w:val="65"/>
        <w:numPr>
          <w:ilvl w:val="0"/>
          <w:numId w:val="29"/>
        </w:numPr>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Los titulares de productos de crédito deben  ser asociados a la Entidad y estar plenamente identificados como aparece en el documento de identidad o certificado de existencia o representación legal y por ninguna razón habrán titulares de productos anónimos o bajo seudónimos o alias.</w:t>
      </w:r>
    </w:p>
    <w:p w14:paraId="110FCC75">
      <w:pPr>
        <w:pStyle w:val="65"/>
        <w:numPr>
          <w:ilvl w:val="0"/>
          <w:numId w:val="29"/>
        </w:numPr>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La Entidad debe vigilar que las operaciones de crédito realizadas por los diferentes medios transaccionales, en efectivo o en cualquier otra forma se ajusten a la normatividad de prevención y control del lavado de activos y la financiación al terrorismo.</w:t>
      </w:r>
    </w:p>
    <w:p w14:paraId="52CA2804">
      <w:pPr>
        <w:pStyle w:val="65"/>
        <w:numPr>
          <w:ilvl w:val="0"/>
          <w:numId w:val="29"/>
        </w:numPr>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Es deber de la Entidad diseñar y poner en funcionamiento los mecanismos que permitan conocer plenamente al asociado y mantener actualizada su información al igual que el conocimiento e información del usuario o relacionado contractual.</w:t>
      </w:r>
    </w:p>
    <w:p w14:paraId="306DF945">
      <w:pPr>
        <w:pStyle w:val="65"/>
        <w:numPr>
          <w:ilvl w:val="0"/>
          <w:numId w:val="29"/>
        </w:numPr>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La Entidad, sus administradores y empleados se obligan a guardar reserva sobre la información y documentos de operaciones inusuales y/o sospechosas reportadas a la UIAF o a cualquier autoridad competente.</w:t>
      </w:r>
    </w:p>
    <w:p w14:paraId="0600A16A">
      <w:pPr>
        <w:pStyle w:val="65"/>
        <w:numPr>
          <w:ilvl w:val="0"/>
          <w:numId w:val="29"/>
        </w:numPr>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La Entidad podrá negar la admisión de asociados cuando se presente cualquiera de las siguientes situaciones:</w:t>
      </w:r>
    </w:p>
    <w:p w14:paraId="613D0EB6">
      <w:pPr>
        <w:pStyle w:val="65"/>
        <w:numPr>
          <w:ilvl w:val="0"/>
          <w:numId w:val="30"/>
        </w:numPr>
        <w:autoSpaceDE w:val="0"/>
        <w:autoSpaceDN w:val="0"/>
        <w:adjustRightInd w:val="0"/>
        <w:rPr>
          <w:rFonts w:ascii="Century Gothic" w:hAnsi="Century Gothic" w:cs="Arial" w:eastAsiaTheme="minorHAnsi"/>
          <w:sz w:val="22"/>
          <w:szCs w:val="22"/>
          <w:lang w:val="es-CO" w:eastAsia="en-US"/>
        </w:rPr>
      </w:pPr>
      <w:r>
        <w:rPr>
          <w:rFonts w:ascii="Century Gothic" w:hAnsi="Century Gothic" w:cs="Arial" w:eastAsiaTheme="minorHAnsi"/>
          <w:sz w:val="22"/>
          <w:szCs w:val="22"/>
          <w:lang w:val="es-MX" w:eastAsia="en-US"/>
        </w:rPr>
        <w:t>Cuando el solicitante se</w:t>
      </w:r>
      <w:r>
        <w:rPr>
          <w:rFonts w:ascii="Century Gothic" w:hAnsi="Century Gothic" w:cs="Arial" w:eastAsiaTheme="minorHAnsi"/>
          <w:sz w:val="22"/>
          <w:szCs w:val="22"/>
          <w:lang w:val="es-CO" w:eastAsia="en-US"/>
        </w:rPr>
        <w:t xml:space="preserve"> niegue a aportar información o documentación requerida para la vinculación.</w:t>
      </w:r>
    </w:p>
    <w:p w14:paraId="7E6A4696">
      <w:pPr>
        <w:pStyle w:val="65"/>
        <w:numPr>
          <w:ilvl w:val="0"/>
          <w:numId w:val="30"/>
        </w:numPr>
        <w:autoSpaceDE w:val="0"/>
        <w:autoSpaceDN w:val="0"/>
        <w:adjustRightInd w:val="0"/>
        <w:rPr>
          <w:rFonts w:ascii="Century Gothic" w:hAnsi="Century Gothic" w:cs="Arial" w:eastAsiaTheme="minorHAnsi"/>
          <w:bCs/>
          <w:sz w:val="22"/>
          <w:szCs w:val="22"/>
          <w:lang w:val="es-CO" w:eastAsia="en-US"/>
        </w:rPr>
      </w:pPr>
      <w:r>
        <w:rPr>
          <w:rFonts w:ascii="Century Gothic" w:hAnsi="Century Gothic" w:cs="Arial" w:eastAsiaTheme="minorHAnsi"/>
          <w:sz w:val="22"/>
          <w:szCs w:val="22"/>
          <w:lang w:val="es-CO" w:eastAsia="en-US"/>
        </w:rPr>
        <w:t>Cu</w:t>
      </w:r>
      <w:r>
        <w:rPr>
          <w:rFonts w:ascii="Century Gothic" w:hAnsi="Century Gothic" w:cs="Arial" w:eastAsiaTheme="minorHAnsi"/>
          <w:bCs/>
          <w:sz w:val="22"/>
          <w:szCs w:val="22"/>
          <w:lang w:val="es-CO" w:eastAsia="en-US"/>
        </w:rPr>
        <w:t>ando la información y/o documentación soporte sea falsa o inexacta.</w:t>
      </w:r>
    </w:p>
    <w:p w14:paraId="4E22ECF7">
      <w:pPr>
        <w:pStyle w:val="65"/>
        <w:numPr>
          <w:ilvl w:val="0"/>
          <w:numId w:val="30"/>
        </w:numPr>
        <w:autoSpaceDE w:val="0"/>
        <w:autoSpaceDN w:val="0"/>
        <w:adjustRightInd w:val="0"/>
        <w:rPr>
          <w:rFonts w:ascii="Century Gothic" w:hAnsi="Century Gothic" w:cs="Arial" w:eastAsiaTheme="minorHAnsi"/>
          <w:bCs/>
          <w:sz w:val="22"/>
          <w:szCs w:val="22"/>
          <w:lang w:val="es-CO" w:eastAsia="en-US"/>
        </w:rPr>
      </w:pPr>
      <w:r>
        <w:rPr>
          <w:rFonts w:ascii="Century Gothic" w:hAnsi="Century Gothic" w:cs="Arial" w:eastAsiaTheme="minorHAnsi"/>
          <w:bCs/>
          <w:sz w:val="22"/>
          <w:szCs w:val="22"/>
          <w:lang w:val="es-CO" w:eastAsia="en-US"/>
        </w:rPr>
        <w:t>Cuando la Entidad no logre verificar la información suministrada por el solicitante.</w:t>
      </w:r>
    </w:p>
    <w:p w14:paraId="2CE99EF7">
      <w:pPr>
        <w:pStyle w:val="65"/>
        <w:numPr>
          <w:ilvl w:val="0"/>
          <w:numId w:val="30"/>
        </w:numPr>
        <w:autoSpaceDE w:val="0"/>
        <w:autoSpaceDN w:val="0"/>
        <w:adjustRightInd w:val="0"/>
        <w:rPr>
          <w:rFonts w:ascii="Century Gothic" w:hAnsi="Century Gothic" w:cs="Arial" w:eastAsiaTheme="minorHAnsi"/>
          <w:sz w:val="22"/>
          <w:szCs w:val="22"/>
          <w:lang w:val="es-CO" w:eastAsia="en-US"/>
        </w:rPr>
      </w:pPr>
      <w:r>
        <w:rPr>
          <w:rFonts w:ascii="Century Gothic" w:hAnsi="Century Gothic" w:cs="Arial" w:eastAsiaTheme="minorHAnsi"/>
          <w:bCs/>
          <w:sz w:val="22"/>
          <w:szCs w:val="22"/>
          <w:lang w:val="es-CO" w:eastAsia="en-US"/>
        </w:rPr>
        <w:t xml:space="preserve">Si el solicitante fue </w:t>
      </w:r>
      <w:r>
        <w:rPr>
          <w:rFonts w:ascii="Century Gothic" w:hAnsi="Century Gothic" w:cs="Arial" w:eastAsiaTheme="minorHAnsi"/>
          <w:sz w:val="22"/>
          <w:szCs w:val="22"/>
          <w:lang w:val="es-CO" w:eastAsia="en-US"/>
        </w:rPr>
        <w:t xml:space="preserve"> condenado por delitos de Lavado de Activos o Financiación del Terrorismo.</w:t>
      </w:r>
    </w:p>
    <w:p w14:paraId="19843E67">
      <w:pPr>
        <w:pStyle w:val="65"/>
        <w:numPr>
          <w:ilvl w:val="0"/>
          <w:numId w:val="29"/>
        </w:numPr>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La Entidad podrá excluir asociados cuando se presente cualquiera de las causales expresas en el estatuto de la entidad.</w:t>
      </w:r>
    </w:p>
    <w:p w14:paraId="015AB2A3">
      <w:pPr>
        <w:pStyle w:val="65"/>
        <w:numPr>
          <w:ilvl w:val="0"/>
          <w:numId w:val="29"/>
        </w:numPr>
        <w:rPr>
          <w:rFonts w:ascii="Century Gothic" w:hAnsi="Century Gothic" w:cs="Arial" w:eastAsiaTheme="minorHAnsi"/>
          <w:bCs/>
          <w:sz w:val="22"/>
          <w:szCs w:val="22"/>
          <w:lang w:val="es-CO" w:eastAsia="en-US"/>
        </w:rPr>
      </w:pPr>
      <w:r>
        <w:rPr>
          <w:rFonts w:ascii="Century Gothic" w:hAnsi="Century Gothic" w:cs="Arial" w:eastAsiaTheme="minorHAnsi"/>
          <w:sz w:val="22"/>
          <w:szCs w:val="22"/>
          <w:lang w:val="es-CO" w:eastAsia="en-US"/>
        </w:rPr>
        <w:t xml:space="preserve">Todos </w:t>
      </w:r>
      <w:r>
        <w:rPr>
          <w:rFonts w:ascii="Century Gothic" w:hAnsi="Century Gothic" w:cs="Arial" w:eastAsiaTheme="minorHAnsi"/>
          <w:sz w:val="22"/>
          <w:szCs w:val="22"/>
          <w:lang w:val="es-MX" w:eastAsia="en-US"/>
        </w:rPr>
        <w:t>los miembros que integran los órganos de administración y control y los funcionarios de la organización tienen la obligación de colaborar con la administración de justicia, atendiendo de manera oportuna los requerimientos expresos de las autoridades competentes y auxiliándolas en la lucha contra los delitos LA/FT, de conformidad con lo dispuesto en el numeral 7 del artículo 95 de la constitución nacional.</w:t>
      </w:r>
    </w:p>
    <w:p w14:paraId="0F83DA0E">
      <w:pPr>
        <w:pStyle w:val="65"/>
        <w:numPr>
          <w:ilvl w:val="0"/>
          <w:numId w:val="29"/>
        </w:numPr>
        <w:rPr>
          <w:rFonts w:ascii="Century Gothic" w:hAnsi="Century Gothic" w:cs="Arial" w:eastAsiaTheme="minorHAnsi"/>
          <w:bCs/>
          <w:sz w:val="22"/>
          <w:szCs w:val="22"/>
          <w:lang w:val="es-CO" w:eastAsia="en-US"/>
        </w:rPr>
      </w:pPr>
      <w:r>
        <w:rPr>
          <w:rFonts w:ascii="Century Gothic" w:hAnsi="Century Gothic" w:cs="Arial" w:eastAsiaTheme="minorHAnsi"/>
          <w:sz w:val="22"/>
          <w:szCs w:val="22"/>
          <w:lang w:val="es-MX" w:eastAsia="en-US"/>
        </w:rPr>
        <w:t xml:space="preserve">La Entidad deberá garantizar la reserva de la información recaudada y reportada, </w:t>
      </w:r>
      <w:r>
        <w:rPr>
          <w:rFonts w:ascii="Century Gothic" w:hAnsi="Century Gothic" w:cs="Arial" w:eastAsiaTheme="minorHAnsi"/>
          <w:color w:val="000000"/>
          <w:sz w:val="22"/>
          <w:szCs w:val="22"/>
          <w:lang w:eastAsia="en-US"/>
        </w:rPr>
        <w:t xml:space="preserve">atendiendo lo señalado en el artículo 105 del EOSF, modificado por el artículo 2 de la Ley 1121 de 2006. </w:t>
      </w:r>
    </w:p>
    <w:p w14:paraId="3B1A96D3">
      <w:pPr>
        <w:pStyle w:val="65"/>
        <w:numPr>
          <w:ilvl w:val="0"/>
          <w:numId w:val="29"/>
        </w:numPr>
        <w:rPr>
          <w:rFonts w:ascii="Century Gothic" w:hAnsi="Century Gothic" w:cs="Arial" w:eastAsiaTheme="minorHAnsi"/>
          <w:bCs/>
          <w:sz w:val="22"/>
          <w:szCs w:val="22"/>
          <w:lang w:val="es-CO" w:eastAsia="en-US"/>
        </w:rPr>
      </w:pPr>
      <w:r>
        <w:rPr>
          <w:rFonts w:ascii="Century Gothic" w:hAnsi="Century Gothic" w:cs="Arial" w:eastAsiaTheme="minorHAnsi"/>
          <w:sz w:val="22"/>
          <w:szCs w:val="22"/>
          <w:lang w:val="es-CO" w:eastAsia="en-US"/>
        </w:rPr>
        <w:t>El tratamiento de la documentación y registros relacionados con el SARLAFT, será acorde con los principios rectores enunciados en la ley 1581de 2012 y demás normatividad aplicable.</w:t>
      </w:r>
    </w:p>
    <w:p w14:paraId="5050FF76">
      <w:pPr>
        <w:pStyle w:val="65"/>
        <w:numPr>
          <w:ilvl w:val="0"/>
          <w:numId w:val="29"/>
        </w:numPr>
        <w:spacing w:after="160"/>
        <w:contextualSpacing/>
        <w:rPr>
          <w:rFonts w:ascii="Century Gothic" w:hAnsi="Century Gothic" w:cs="Arial"/>
          <w:sz w:val="22"/>
          <w:szCs w:val="22"/>
        </w:rPr>
      </w:pPr>
      <w:r>
        <w:rPr>
          <w:rFonts w:ascii="Century Gothic" w:hAnsi="Century Gothic" w:cs="Arial"/>
          <w:sz w:val="22"/>
          <w:szCs w:val="22"/>
        </w:rPr>
        <w:t xml:space="preserve">La Entidad velará por la efectiva, eficiente y oportuna elaboración de reportes tanto internos como externos que garantice el funcionamiento de los procedimientos del SARLAFT y la atención a los requerimientos de las autoridades competentes. </w:t>
      </w:r>
    </w:p>
    <w:p w14:paraId="4E6535EF">
      <w:pPr>
        <w:pStyle w:val="65"/>
        <w:numPr>
          <w:ilvl w:val="0"/>
          <w:numId w:val="29"/>
        </w:numPr>
        <w:autoSpaceDE w:val="0"/>
        <w:autoSpaceDN w:val="0"/>
        <w:adjustRightInd w:val="0"/>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La entidad establecerá lineamientos para la prevención y resolución de conflictos de interés, pautas de comportamiento y ética, así como otros aspectos que facilitan el adecuado gobierno corporativo</w:t>
      </w:r>
    </w:p>
    <w:p w14:paraId="1BD2EEBD">
      <w:pPr>
        <w:pStyle w:val="65"/>
        <w:numPr>
          <w:ilvl w:val="0"/>
          <w:numId w:val="29"/>
        </w:numPr>
        <w:autoSpaceDE w:val="0"/>
        <w:autoSpaceDN w:val="0"/>
        <w:adjustRightInd w:val="0"/>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Es deber de la Gerencia, de los administradores, de los Organismos de Control, del Oficial de Cumplimiento y  los empleados de la Entidad anteponer la observancia de los principios éticos y el cumplimiento de las normas en materia de prevención y control de LA/FT al logro de las metas comerciales.</w:t>
      </w:r>
    </w:p>
    <w:p w14:paraId="061D8522">
      <w:pPr>
        <w:pStyle w:val="65"/>
        <w:numPr>
          <w:ilvl w:val="0"/>
          <w:numId w:val="29"/>
        </w:numPr>
        <w:rPr>
          <w:rFonts w:ascii="Century Gothic" w:hAnsi="Century Gothic" w:cs="Arial" w:eastAsiaTheme="minorHAnsi"/>
          <w:bCs/>
          <w:sz w:val="22"/>
          <w:szCs w:val="22"/>
          <w:lang w:val="es-CO" w:eastAsia="en-US"/>
        </w:rPr>
      </w:pPr>
      <w:r>
        <w:rPr>
          <w:rFonts w:ascii="Century Gothic" w:hAnsi="Century Gothic" w:cs="Arial" w:eastAsiaTheme="minorHAnsi"/>
          <w:sz w:val="22"/>
          <w:szCs w:val="22"/>
          <w:lang w:val="es-CO" w:eastAsia="en-US"/>
        </w:rPr>
        <w:t>Será obligación de la entidad establecer las sanciones por incumplimiento a las normas relacionas con el SARLAFT, así como los procedimientos para su imposición.</w:t>
      </w:r>
    </w:p>
    <w:p w14:paraId="35890CDE">
      <w:pPr>
        <w:pStyle w:val="65"/>
        <w:numPr>
          <w:ilvl w:val="0"/>
          <w:numId w:val="29"/>
        </w:numPr>
        <w:rPr>
          <w:rFonts w:ascii="Century Gothic" w:hAnsi="Century Gothic"/>
          <w:sz w:val="22"/>
          <w:szCs w:val="22"/>
        </w:rPr>
      </w:pPr>
      <w:r>
        <w:rPr>
          <w:rFonts w:ascii="Century Gothic" w:hAnsi="Century Gothic"/>
          <w:sz w:val="22"/>
          <w:szCs w:val="22"/>
        </w:rPr>
        <w:t>La Entidad Consultará y verificará las listas vinculantes para Colombia, de conformidad con el derecho internacional, previo a la vinculación de nuevos asociados/clientes y relacionados contractuales y  como parte de actualización de su información.</w:t>
      </w:r>
    </w:p>
    <w:p w14:paraId="65BF7E3B">
      <w:pPr>
        <w:pStyle w:val="65"/>
        <w:numPr>
          <w:ilvl w:val="0"/>
          <w:numId w:val="29"/>
        </w:numPr>
        <w:rPr>
          <w:rFonts w:ascii="Century Gothic" w:hAnsi="Century Gothic"/>
          <w:sz w:val="22"/>
          <w:szCs w:val="22"/>
        </w:rPr>
      </w:pPr>
      <w:r>
        <w:rPr>
          <w:rFonts w:ascii="Century Gothic" w:hAnsi="Century Gothic"/>
          <w:sz w:val="22"/>
          <w:szCs w:val="22"/>
        </w:rPr>
        <w:t>La Entidad fijará políticas para la conservación de documentos, en atención a la normatividad vigente.</w:t>
      </w:r>
    </w:p>
    <w:p w14:paraId="7E5A989D">
      <w:pPr>
        <w:pStyle w:val="65"/>
        <w:numPr>
          <w:ilvl w:val="0"/>
          <w:numId w:val="29"/>
        </w:numPr>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Por ninguna circunstancia se aceptarán asociados que no cumplan con el nicho de mercado definido para la Entidad o que aparezcan en listas restrictivas de acuerdo con las recomendaciones del Grupo de Acción Financiera Internacional (GAFI).</w:t>
      </w:r>
    </w:p>
    <w:p w14:paraId="749DB08C">
      <w:pPr>
        <w:pStyle w:val="65"/>
        <w:numPr>
          <w:ilvl w:val="0"/>
          <w:numId w:val="29"/>
        </w:numPr>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La Entidad aceptará solamente aquellos asociados cuyas fuentes de ingresos y activos y de fondos puedan ser determinadas razonablemente como legítimas.</w:t>
      </w:r>
    </w:p>
    <w:p w14:paraId="608AF241">
      <w:pPr>
        <w:pStyle w:val="65"/>
        <w:widowControl w:val="0"/>
        <w:numPr>
          <w:ilvl w:val="0"/>
          <w:numId w:val="29"/>
        </w:numPr>
        <w:autoSpaceDE w:val="0"/>
        <w:autoSpaceDN w:val="0"/>
        <w:adjustRightInd w:val="0"/>
        <w:spacing w:line="243" w:lineRule="auto"/>
        <w:ind w:right="50"/>
        <w:rPr>
          <w:rFonts w:ascii="Century Gothic" w:hAnsi="Century Gothic" w:cs="Arial"/>
          <w:sz w:val="22"/>
          <w:szCs w:val="22"/>
        </w:rPr>
      </w:pPr>
      <w:r>
        <w:rPr>
          <w:rFonts w:ascii="Century Gothic" w:hAnsi="Century Gothic" w:cs="Arial"/>
          <w:color w:val="000000"/>
          <w:sz w:val="22"/>
          <w:szCs w:val="22"/>
        </w:rPr>
        <w:t xml:space="preserve">La Entidad </w:t>
      </w:r>
      <w:r>
        <w:rPr>
          <w:rFonts w:ascii="Century Gothic" w:hAnsi="Century Gothic" w:cs="Arial"/>
          <w:color w:val="000000"/>
          <w:spacing w:val="1"/>
          <w:sz w:val="22"/>
          <w:szCs w:val="22"/>
        </w:rPr>
        <w:t>n</w:t>
      </w:r>
      <w:r>
        <w:rPr>
          <w:rFonts w:ascii="Century Gothic" w:hAnsi="Century Gothic" w:cs="Arial"/>
          <w:color w:val="000000"/>
          <w:sz w:val="22"/>
          <w:szCs w:val="22"/>
        </w:rPr>
        <w:t>o</w:t>
      </w:r>
      <w:r>
        <w:rPr>
          <w:rFonts w:ascii="Century Gothic" w:hAnsi="Century Gothic" w:cs="Arial"/>
          <w:color w:val="000000"/>
          <w:spacing w:val="28"/>
          <w:sz w:val="22"/>
          <w:szCs w:val="22"/>
        </w:rPr>
        <w:t xml:space="preserve"> </w:t>
      </w:r>
      <w:r>
        <w:rPr>
          <w:rFonts w:ascii="Century Gothic" w:hAnsi="Century Gothic" w:cs="Arial"/>
          <w:color w:val="000000"/>
          <w:spacing w:val="-2"/>
          <w:sz w:val="22"/>
          <w:szCs w:val="22"/>
        </w:rPr>
        <w:t>v</w:t>
      </w:r>
      <w:r>
        <w:rPr>
          <w:rFonts w:ascii="Century Gothic" w:hAnsi="Century Gothic" w:cs="Arial"/>
          <w:color w:val="000000"/>
          <w:sz w:val="22"/>
          <w:szCs w:val="22"/>
        </w:rPr>
        <w:t>inc</w:t>
      </w:r>
      <w:r>
        <w:rPr>
          <w:rFonts w:ascii="Century Gothic" w:hAnsi="Century Gothic" w:cs="Arial"/>
          <w:color w:val="000000"/>
          <w:spacing w:val="1"/>
          <w:sz w:val="22"/>
          <w:szCs w:val="22"/>
        </w:rPr>
        <w:t>u</w:t>
      </w:r>
      <w:r>
        <w:rPr>
          <w:rFonts w:ascii="Century Gothic" w:hAnsi="Century Gothic" w:cs="Arial"/>
          <w:color w:val="000000"/>
          <w:sz w:val="22"/>
          <w:szCs w:val="22"/>
        </w:rPr>
        <w:t>lará</w:t>
      </w:r>
      <w:r>
        <w:rPr>
          <w:rFonts w:ascii="Century Gothic" w:hAnsi="Century Gothic" w:cs="Arial"/>
          <w:color w:val="000000"/>
          <w:spacing w:val="30"/>
          <w:sz w:val="22"/>
          <w:szCs w:val="22"/>
        </w:rPr>
        <w:t xml:space="preserve"> </w:t>
      </w:r>
      <w:r>
        <w:rPr>
          <w:rFonts w:ascii="Century Gothic" w:hAnsi="Century Gothic" w:cs="Arial"/>
          <w:color w:val="000000"/>
          <w:sz w:val="22"/>
          <w:szCs w:val="22"/>
        </w:rPr>
        <w:t>c</w:t>
      </w:r>
      <w:r>
        <w:rPr>
          <w:rFonts w:ascii="Century Gothic" w:hAnsi="Century Gothic" w:cs="Arial"/>
          <w:color w:val="000000"/>
          <w:spacing w:val="1"/>
          <w:sz w:val="22"/>
          <w:szCs w:val="22"/>
        </w:rPr>
        <w:t>om</w:t>
      </w:r>
      <w:r>
        <w:rPr>
          <w:rFonts w:ascii="Century Gothic" w:hAnsi="Century Gothic" w:cs="Arial"/>
          <w:color w:val="000000"/>
          <w:sz w:val="22"/>
          <w:szCs w:val="22"/>
        </w:rPr>
        <w:t>o</w:t>
      </w:r>
      <w:r>
        <w:rPr>
          <w:rFonts w:ascii="Century Gothic" w:hAnsi="Century Gothic" w:cs="Arial"/>
          <w:color w:val="000000"/>
          <w:spacing w:val="28"/>
          <w:sz w:val="22"/>
          <w:szCs w:val="22"/>
        </w:rPr>
        <w:t xml:space="preserve"> </w:t>
      </w:r>
      <w:r>
        <w:rPr>
          <w:rFonts w:ascii="Century Gothic" w:hAnsi="Century Gothic" w:cs="Arial"/>
          <w:color w:val="000000"/>
          <w:spacing w:val="3"/>
          <w:sz w:val="22"/>
          <w:szCs w:val="22"/>
        </w:rPr>
        <w:t>f</w:t>
      </w:r>
      <w:r>
        <w:rPr>
          <w:rFonts w:ascii="Century Gothic" w:hAnsi="Century Gothic" w:cs="Arial"/>
          <w:color w:val="000000"/>
          <w:sz w:val="22"/>
          <w:szCs w:val="22"/>
        </w:rPr>
        <w:t>unci</w:t>
      </w:r>
      <w:r>
        <w:rPr>
          <w:rFonts w:ascii="Century Gothic" w:hAnsi="Century Gothic" w:cs="Arial"/>
          <w:color w:val="000000"/>
          <w:spacing w:val="-1"/>
          <w:sz w:val="22"/>
          <w:szCs w:val="22"/>
        </w:rPr>
        <w:t>o</w:t>
      </w:r>
      <w:r>
        <w:rPr>
          <w:rFonts w:ascii="Century Gothic" w:hAnsi="Century Gothic" w:cs="Arial"/>
          <w:color w:val="000000"/>
          <w:sz w:val="22"/>
          <w:szCs w:val="22"/>
        </w:rPr>
        <w:t>nario</w:t>
      </w:r>
      <w:r>
        <w:rPr>
          <w:rFonts w:ascii="Century Gothic" w:hAnsi="Century Gothic" w:cs="Arial"/>
          <w:color w:val="000000"/>
          <w:spacing w:val="29"/>
          <w:sz w:val="22"/>
          <w:szCs w:val="22"/>
        </w:rPr>
        <w:t xml:space="preserve"> </w:t>
      </w:r>
      <w:r>
        <w:rPr>
          <w:rFonts w:ascii="Century Gothic" w:hAnsi="Century Gothic" w:cs="Arial"/>
          <w:color w:val="000000"/>
          <w:spacing w:val="1"/>
          <w:sz w:val="22"/>
          <w:szCs w:val="22"/>
        </w:rPr>
        <w:t>d</w:t>
      </w:r>
      <w:r>
        <w:rPr>
          <w:rFonts w:ascii="Century Gothic" w:hAnsi="Century Gothic" w:cs="Arial"/>
          <w:color w:val="000000"/>
          <w:sz w:val="22"/>
          <w:szCs w:val="22"/>
        </w:rPr>
        <w:t>e</w:t>
      </w:r>
      <w:r>
        <w:rPr>
          <w:rFonts w:ascii="Century Gothic" w:hAnsi="Century Gothic" w:cs="Arial"/>
          <w:color w:val="000000"/>
          <w:spacing w:val="31"/>
          <w:sz w:val="22"/>
          <w:szCs w:val="22"/>
        </w:rPr>
        <w:t xml:space="preserve"> </w:t>
      </w:r>
      <w:r>
        <w:rPr>
          <w:rFonts w:ascii="Century Gothic" w:hAnsi="Century Gothic" w:cs="Arial"/>
          <w:color w:val="000000"/>
          <w:sz w:val="22"/>
          <w:szCs w:val="22"/>
        </w:rPr>
        <w:t>la</w:t>
      </w:r>
      <w:r>
        <w:rPr>
          <w:rFonts w:ascii="Century Gothic" w:hAnsi="Century Gothic" w:cs="Arial"/>
          <w:color w:val="000000"/>
          <w:spacing w:val="29"/>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z w:val="22"/>
          <w:szCs w:val="22"/>
        </w:rPr>
        <w:t>ntid</w:t>
      </w:r>
      <w:r>
        <w:rPr>
          <w:rFonts w:ascii="Century Gothic" w:hAnsi="Century Gothic" w:cs="Arial"/>
          <w:color w:val="000000"/>
          <w:spacing w:val="-1"/>
          <w:sz w:val="22"/>
          <w:szCs w:val="22"/>
        </w:rPr>
        <w:t>a</w:t>
      </w:r>
      <w:r>
        <w:rPr>
          <w:rFonts w:ascii="Century Gothic" w:hAnsi="Century Gothic" w:cs="Arial"/>
          <w:color w:val="000000"/>
          <w:sz w:val="22"/>
          <w:szCs w:val="22"/>
        </w:rPr>
        <w:t>d o Relacionados contractuales (RC),</w:t>
      </w:r>
      <w:r>
        <w:rPr>
          <w:rFonts w:ascii="Century Gothic" w:hAnsi="Century Gothic" w:cs="Arial"/>
          <w:color w:val="000000"/>
          <w:spacing w:val="30"/>
          <w:sz w:val="22"/>
          <w:szCs w:val="22"/>
        </w:rPr>
        <w:t xml:space="preserve"> a </w:t>
      </w:r>
      <w:r>
        <w:rPr>
          <w:rFonts w:ascii="Century Gothic" w:hAnsi="Century Gothic" w:cs="Arial"/>
          <w:color w:val="000000"/>
          <w:spacing w:val="-1"/>
          <w:sz w:val="22"/>
          <w:szCs w:val="22"/>
        </w:rPr>
        <w:t>p</w:t>
      </w:r>
      <w:r>
        <w:rPr>
          <w:rFonts w:ascii="Century Gothic" w:hAnsi="Century Gothic" w:cs="Arial"/>
          <w:color w:val="000000"/>
          <w:sz w:val="22"/>
          <w:szCs w:val="22"/>
        </w:rPr>
        <w:t>ers</w:t>
      </w:r>
      <w:r>
        <w:rPr>
          <w:rFonts w:ascii="Century Gothic" w:hAnsi="Century Gothic" w:cs="Arial"/>
          <w:color w:val="000000"/>
          <w:spacing w:val="1"/>
          <w:sz w:val="22"/>
          <w:szCs w:val="22"/>
        </w:rPr>
        <w:t>on</w:t>
      </w:r>
      <w:r>
        <w:rPr>
          <w:rFonts w:ascii="Century Gothic" w:hAnsi="Century Gothic" w:cs="Arial"/>
          <w:color w:val="000000"/>
          <w:sz w:val="22"/>
          <w:szCs w:val="22"/>
        </w:rPr>
        <w:t>as</w:t>
      </w:r>
      <w:r>
        <w:rPr>
          <w:rFonts w:ascii="Century Gothic" w:hAnsi="Century Gothic" w:cs="Arial"/>
          <w:color w:val="000000"/>
          <w:spacing w:val="30"/>
          <w:sz w:val="22"/>
          <w:szCs w:val="22"/>
        </w:rPr>
        <w:t xml:space="preserve"> </w:t>
      </w:r>
      <w:r>
        <w:rPr>
          <w:rFonts w:ascii="Century Gothic" w:hAnsi="Century Gothic" w:cs="Arial"/>
          <w:color w:val="000000"/>
          <w:spacing w:val="-1"/>
          <w:sz w:val="22"/>
          <w:szCs w:val="22"/>
        </w:rPr>
        <w:t>q</w:t>
      </w:r>
      <w:r>
        <w:rPr>
          <w:rFonts w:ascii="Century Gothic" w:hAnsi="Century Gothic" w:cs="Arial"/>
          <w:color w:val="000000"/>
          <w:sz w:val="22"/>
          <w:szCs w:val="22"/>
        </w:rPr>
        <w:t>ue</w:t>
      </w:r>
      <w:r>
        <w:rPr>
          <w:rFonts w:ascii="Century Gothic" w:hAnsi="Century Gothic" w:cs="Arial"/>
          <w:sz w:val="22"/>
          <w:szCs w:val="22"/>
        </w:rPr>
        <w:t xml:space="preserve"> </w:t>
      </w:r>
      <w:r>
        <w:rPr>
          <w:rFonts w:ascii="Century Gothic" w:hAnsi="Century Gothic" w:cs="Arial"/>
          <w:color w:val="000000"/>
          <w:sz w:val="22"/>
          <w:szCs w:val="22"/>
        </w:rPr>
        <w:t>se</w:t>
      </w:r>
      <w:r>
        <w:rPr>
          <w:rFonts w:ascii="Century Gothic" w:hAnsi="Century Gothic" w:cs="Arial"/>
          <w:color w:val="000000"/>
          <w:spacing w:val="32"/>
          <w:sz w:val="22"/>
          <w:szCs w:val="22"/>
        </w:rPr>
        <w:t xml:space="preserve"> </w:t>
      </w:r>
      <w:r>
        <w:rPr>
          <w:rFonts w:ascii="Century Gothic" w:hAnsi="Century Gothic" w:cs="Arial"/>
          <w:color w:val="000000"/>
          <w:spacing w:val="1"/>
          <w:sz w:val="22"/>
          <w:szCs w:val="22"/>
        </w:rPr>
        <w:t>en</w:t>
      </w:r>
      <w:r>
        <w:rPr>
          <w:rFonts w:ascii="Century Gothic" w:hAnsi="Century Gothic" w:cs="Arial"/>
          <w:color w:val="000000"/>
          <w:spacing w:val="-1"/>
          <w:sz w:val="22"/>
          <w:szCs w:val="22"/>
        </w:rPr>
        <w:t>c</w:t>
      </w:r>
      <w:r>
        <w:rPr>
          <w:rFonts w:ascii="Century Gothic" w:hAnsi="Century Gothic" w:cs="Arial"/>
          <w:color w:val="000000"/>
          <w:sz w:val="22"/>
          <w:szCs w:val="22"/>
        </w:rPr>
        <w:t>uentren</w:t>
      </w:r>
      <w:r>
        <w:rPr>
          <w:rFonts w:ascii="Century Gothic" w:hAnsi="Century Gothic" w:cs="Arial"/>
          <w:color w:val="000000"/>
          <w:spacing w:val="32"/>
          <w:sz w:val="22"/>
          <w:szCs w:val="22"/>
        </w:rPr>
        <w:t xml:space="preserve"> </w:t>
      </w:r>
      <w:r>
        <w:rPr>
          <w:rFonts w:ascii="Century Gothic" w:hAnsi="Century Gothic" w:cs="Arial"/>
          <w:color w:val="000000"/>
          <w:sz w:val="22"/>
          <w:szCs w:val="22"/>
        </w:rPr>
        <w:t>r</w:t>
      </w:r>
      <w:r>
        <w:rPr>
          <w:rFonts w:ascii="Century Gothic" w:hAnsi="Century Gothic" w:cs="Arial"/>
          <w:color w:val="000000"/>
          <w:spacing w:val="1"/>
          <w:sz w:val="22"/>
          <w:szCs w:val="22"/>
        </w:rPr>
        <w:t>e</w:t>
      </w:r>
      <w:r>
        <w:rPr>
          <w:rFonts w:ascii="Century Gothic" w:hAnsi="Century Gothic" w:cs="Arial"/>
          <w:color w:val="000000"/>
          <w:spacing w:val="-1"/>
          <w:sz w:val="22"/>
          <w:szCs w:val="22"/>
        </w:rPr>
        <w:t>p</w:t>
      </w:r>
      <w:r>
        <w:rPr>
          <w:rFonts w:ascii="Century Gothic" w:hAnsi="Century Gothic" w:cs="Arial"/>
          <w:color w:val="000000"/>
          <w:sz w:val="22"/>
          <w:szCs w:val="22"/>
        </w:rPr>
        <w:t>ort</w:t>
      </w:r>
      <w:r>
        <w:rPr>
          <w:rFonts w:ascii="Century Gothic" w:hAnsi="Century Gothic" w:cs="Arial"/>
          <w:color w:val="000000"/>
          <w:spacing w:val="-1"/>
          <w:sz w:val="22"/>
          <w:szCs w:val="22"/>
        </w:rPr>
        <w:t>a</w:t>
      </w:r>
      <w:r>
        <w:rPr>
          <w:rFonts w:ascii="Century Gothic" w:hAnsi="Century Gothic" w:cs="Arial"/>
          <w:color w:val="000000"/>
          <w:sz w:val="22"/>
          <w:szCs w:val="22"/>
        </w:rPr>
        <w:t>d</w:t>
      </w:r>
      <w:r>
        <w:rPr>
          <w:rFonts w:ascii="Century Gothic" w:hAnsi="Century Gothic" w:cs="Arial"/>
          <w:color w:val="000000"/>
          <w:spacing w:val="1"/>
          <w:sz w:val="22"/>
          <w:szCs w:val="22"/>
        </w:rPr>
        <w:t>a</w:t>
      </w:r>
      <w:r>
        <w:rPr>
          <w:rFonts w:ascii="Century Gothic" w:hAnsi="Century Gothic" w:cs="Arial"/>
          <w:color w:val="000000"/>
          <w:sz w:val="22"/>
          <w:szCs w:val="22"/>
        </w:rPr>
        <w:t>s</w:t>
      </w:r>
      <w:r>
        <w:rPr>
          <w:rFonts w:ascii="Century Gothic" w:hAnsi="Century Gothic" w:cs="Arial"/>
          <w:color w:val="000000"/>
          <w:spacing w:val="32"/>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z w:val="22"/>
          <w:szCs w:val="22"/>
        </w:rPr>
        <w:t>n</w:t>
      </w:r>
      <w:r>
        <w:rPr>
          <w:rFonts w:ascii="Century Gothic" w:hAnsi="Century Gothic" w:cs="Arial"/>
          <w:color w:val="000000"/>
          <w:spacing w:val="32"/>
          <w:sz w:val="22"/>
          <w:szCs w:val="22"/>
        </w:rPr>
        <w:t xml:space="preserve"> </w:t>
      </w:r>
      <w:r>
        <w:rPr>
          <w:rFonts w:ascii="Century Gothic" w:hAnsi="Century Gothic" w:cs="Arial"/>
          <w:color w:val="000000"/>
          <w:sz w:val="22"/>
          <w:szCs w:val="22"/>
        </w:rPr>
        <w:t>listas</w:t>
      </w:r>
      <w:r>
        <w:rPr>
          <w:rFonts w:ascii="Century Gothic" w:hAnsi="Century Gothic" w:cs="Arial"/>
          <w:color w:val="000000"/>
          <w:spacing w:val="32"/>
          <w:sz w:val="22"/>
          <w:szCs w:val="22"/>
        </w:rPr>
        <w:t xml:space="preserve"> </w:t>
      </w:r>
      <w:r>
        <w:rPr>
          <w:rFonts w:ascii="Century Gothic" w:hAnsi="Century Gothic" w:cs="Arial"/>
          <w:color w:val="000000"/>
          <w:sz w:val="22"/>
          <w:szCs w:val="22"/>
        </w:rPr>
        <w:t>res</w:t>
      </w:r>
      <w:r>
        <w:rPr>
          <w:rFonts w:ascii="Century Gothic" w:hAnsi="Century Gothic" w:cs="Arial"/>
          <w:color w:val="000000"/>
          <w:spacing w:val="1"/>
          <w:sz w:val="22"/>
          <w:szCs w:val="22"/>
        </w:rPr>
        <w:t>t</w:t>
      </w:r>
      <w:r>
        <w:rPr>
          <w:rFonts w:ascii="Century Gothic" w:hAnsi="Century Gothic" w:cs="Arial"/>
          <w:color w:val="000000"/>
          <w:sz w:val="22"/>
          <w:szCs w:val="22"/>
        </w:rPr>
        <w:t>rictivas,</w:t>
      </w:r>
      <w:r>
        <w:rPr>
          <w:rFonts w:ascii="Century Gothic" w:hAnsi="Century Gothic" w:cs="Arial"/>
          <w:color w:val="000000"/>
          <w:spacing w:val="32"/>
          <w:sz w:val="22"/>
          <w:szCs w:val="22"/>
        </w:rPr>
        <w:t xml:space="preserve"> </w:t>
      </w:r>
      <w:r>
        <w:rPr>
          <w:rFonts w:ascii="Century Gothic" w:hAnsi="Century Gothic" w:cs="Arial"/>
          <w:color w:val="000000"/>
          <w:spacing w:val="1"/>
          <w:sz w:val="22"/>
          <w:szCs w:val="22"/>
        </w:rPr>
        <w:t>n</w:t>
      </w:r>
      <w:r>
        <w:rPr>
          <w:rFonts w:ascii="Century Gothic" w:hAnsi="Century Gothic" w:cs="Arial"/>
          <w:color w:val="000000"/>
          <w:sz w:val="22"/>
          <w:szCs w:val="22"/>
        </w:rPr>
        <w:t>i</w:t>
      </w:r>
      <w:r>
        <w:rPr>
          <w:rFonts w:ascii="Century Gothic" w:hAnsi="Century Gothic" w:cs="Arial"/>
          <w:color w:val="000000"/>
          <w:spacing w:val="129"/>
          <w:sz w:val="22"/>
          <w:szCs w:val="22"/>
        </w:rPr>
        <w:t xml:space="preserve"> </w:t>
      </w:r>
      <w:r>
        <w:rPr>
          <w:rFonts w:ascii="Century Gothic" w:hAnsi="Century Gothic" w:cs="Arial"/>
          <w:color w:val="000000"/>
          <w:sz w:val="22"/>
          <w:szCs w:val="22"/>
        </w:rPr>
        <w:t>que</w:t>
      </w:r>
      <w:r>
        <w:rPr>
          <w:rFonts w:ascii="Century Gothic" w:hAnsi="Century Gothic" w:cs="Arial"/>
          <w:color w:val="000000"/>
          <w:spacing w:val="131"/>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pacing w:val="-2"/>
          <w:sz w:val="22"/>
          <w:szCs w:val="22"/>
        </w:rPr>
        <w:t>s</w:t>
      </w:r>
      <w:r>
        <w:rPr>
          <w:rFonts w:ascii="Century Gothic" w:hAnsi="Century Gothic" w:cs="Arial"/>
          <w:color w:val="000000"/>
          <w:sz w:val="22"/>
          <w:szCs w:val="22"/>
        </w:rPr>
        <w:t>t</w:t>
      </w:r>
      <w:r>
        <w:rPr>
          <w:rFonts w:ascii="Century Gothic" w:hAnsi="Century Gothic" w:cs="Arial"/>
          <w:color w:val="000000"/>
          <w:spacing w:val="1"/>
          <w:sz w:val="22"/>
          <w:szCs w:val="22"/>
        </w:rPr>
        <w:t>é</w:t>
      </w:r>
      <w:r>
        <w:rPr>
          <w:rFonts w:ascii="Century Gothic" w:hAnsi="Century Gothic" w:cs="Arial"/>
          <w:color w:val="000000"/>
          <w:sz w:val="22"/>
          <w:szCs w:val="22"/>
        </w:rPr>
        <w:t>n</w:t>
      </w:r>
      <w:r>
        <w:rPr>
          <w:rFonts w:ascii="Century Gothic" w:hAnsi="Century Gothic" w:cs="Arial"/>
          <w:color w:val="000000"/>
          <w:spacing w:val="32"/>
          <w:sz w:val="22"/>
          <w:szCs w:val="22"/>
        </w:rPr>
        <w:t xml:space="preserve"> </w:t>
      </w:r>
      <w:r>
        <w:rPr>
          <w:rFonts w:ascii="Century Gothic" w:hAnsi="Century Gothic" w:cs="Arial"/>
          <w:color w:val="000000"/>
          <w:spacing w:val="-1"/>
          <w:sz w:val="22"/>
          <w:szCs w:val="22"/>
        </w:rPr>
        <w:t>in</w:t>
      </w:r>
      <w:r>
        <w:rPr>
          <w:rFonts w:ascii="Century Gothic" w:hAnsi="Century Gothic" w:cs="Arial"/>
          <w:color w:val="000000"/>
          <w:sz w:val="22"/>
          <w:szCs w:val="22"/>
        </w:rPr>
        <w:t>v</w:t>
      </w:r>
      <w:r>
        <w:rPr>
          <w:rFonts w:ascii="Century Gothic" w:hAnsi="Century Gothic" w:cs="Arial"/>
          <w:color w:val="000000"/>
          <w:spacing w:val="1"/>
          <w:sz w:val="22"/>
          <w:szCs w:val="22"/>
        </w:rPr>
        <w:t>o</w:t>
      </w:r>
      <w:r>
        <w:rPr>
          <w:rFonts w:ascii="Century Gothic" w:hAnsi="Century Gothic" w:cs="Arial"/>
          <w:color w:val="000000"/>
          <w:sz w:val="22"/>
          <w:szCs w:val="22"/>
        </w:rPr>
        <w:t>l</w:t>
      </w:r>
      <w:r>
        <w:rPr>
          <w:rFonts w:ascii="Century Gothic" w:hAnsi="Century Gothic" w:cs="Arial"/>
          <w:color w:val="000000"/>
          <w:spacing w:val="1"/>
          <w:sz w:val="22"/>
          <w:szCs w:val="22"/>
        </w:rPr>
        <w:t>u</w:t>
      </w:r>
      <w:r>
        <w:rPr>
          <w:rFonts w:ascii="Century Gothic" w:hAnsi="Century Gothic" w:cs="Arial"/>
          <w:color w:val="000000"/>
          <w:sz w:val="22"/>
          <w:szCs w:val="22"/>
        </w:rPr>
        <w:t>cra</w:t>
      </w:r>
      <w:r>
        <w:rPr>
          <w:rFonts w:ascii="Century Gothic" w:hAnsi="Century Gothic" w:cs="Arial"/>
          <w:color w:val="000000"/>
          <w:spacing w:val="1"/>
          <w:sz w:val="22"/>
          <w:szCs w:val="22"/>
        </w:rPr>
        <w:t>d</w:t>
      </w:r>
      <w:r>
        <w:rPr>
          <w:rFonts w:ascii="Century Gothic" w:hAnsi="Century Gothic" w:cs="Arial"/>
          <w:color w:val="000000"/>
          <w:sz w:val="22"/>
          <w:szCs w:val="22"/>
        </w:rPr>
        <w:t>o</w:t>
      </w:r>
      <w:r>
        <w:rPr>
          <w:rFonts w:ascii="Century Gothic" w:hAnsi="Century Gothic" w:cs="Arial"/>
          <w:color w:val="000000"/>
          <w:spacing w:val="28"/>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z w:val="22"/>
          <w:szCs w:val="22"/>
        </w:rPr>
        <w:t>n</w:t>
      </w:r>
      <w:r>
        <w:rPr>
          <w:rFonts w:ascii="Century Gothic" w:hAnsi="Century Gothic" w:cs="Arial"/>
          <w:sz w:val="22"/>
          <w:szCs w:val="22"/>
        </w:rPr>
        <w:t xml:space="preserve"> </w:t>
      </w:r>
      <w:r>
        <w:rPr>
          <w:rFonts w:ascii="Century Gothic" w:hAnsi="Century Gothic" w:cs="Arial"/>
          <w:color w:val="000000"/>
          <w:sz w:val="22"/>
          <w:szCs w:val="22"/>
        </w:rPr>
        <w:t>pr</w:t>
      </w:r>
      <w:r>
        <w:rPr>
          <w:rFonts w:ascii="Century Gothic" w:hAnsi="Century Gothic" w:cs="Arial"/>
          <w:color w:val="000000"/>
          <w:spacing w:val="1"/>
          <w:sz w:val="22"/>
          <w:szCs w:val="22"/>
        </w:rPr>
        <w:t>o</w:t>
      </w:r>
      <w:r>
        <w:rPr>
          <w:rFonts w:ascii="Century Gothic" w:hAnsi="Century Gothic" w:cs="Arial"/>
          <w:color w:val="000000"/>
          <w:sz w:val="22"/>
          <w:szCs w:val="22"/>
        </w:rPr>
        <w:t>c</w:t>
      </w:r>
      <w:r>
        <w:rPr>
          <w:rFonts w:ascii="Century Gothic" w:hAnsi="Century Gothic" w:cs="Arial"/>
          <w:color w:val="000000"/>
          <w:spacing w:val="1"/>
          <w:sz w:val="22"/>
          <w:szCs w:val="22"/>
        </w:rPr>
        <w:t>e</w:t>
      </w:r>
      <w:r>
        <w:rPr>
          <w:rFonts w:ascii="Century Gothic" w:hAnsi="Century Gothic" w:cs="Arial"/>
          <w:color w:val="000000"/>
          <w:sz w:val="22"/>
          <w:szCs w:val="22"/>
        </w:rPr>
        <w:t>sos</w:t>
      </w:r>
      <w:r>
        <w:rPr>
          <w:rFonts w:ascii="Century Gothic" w:hAnsi="Century Gothic" w:cs="Arial"/>
          <w:color w:val="000000"/>
          <w:spacing w:val="1"/>
          <w:sz w:val="22"/>
          <w:szCs w:val="22"/>
        </w:rPr>
        <w:t xml:space="preserve"> </w:t>
      </w:r>
      <w:r>
        <w:rPr>
          <w:rFonts w:ascii="Century Gothic" w:hAnsi="Century Gothic" w:cs="Arial"/>
          <w:color w:val="000000"/>
          <w:spacing w:val="-2"/>
          <w:sz w:val="22"/>
          <w:szCs w:val="22"/>
        </w:rPr>
        <w:t>j</w:t>
      </w:r>
      <w:r>
        <w:rPr>
          <w:rFonts w:ascii="Century Gothic" w:hAnsi="Century Gothic" w:cs="Arial"/>
          <w:color w:val="000000"/>
          <w:sz w:val="22"/>
          <w:szCs w:val="22"/>
        </w:rPr>
        <w:t>u</w:t>
      </w:r>
      <w:r>
        <w:rPr>
          <w:rFonts w:ascii="Century Gothic" w:hAnsi="Century Gothic" w:cs="Arial"/>
          <w:color w:val="000000"/>
          <w:spacing w:val="1"/>
          <w:sz w:val="22"/>
          <w:szCs w:val="22"/>
        </w:rPr>
        <w:t>d</w:t>
      </w:r>
      <w:r>
        <w:rPr>
          <w:rFonts w:ascii="Century Gothic" w:hAnsi="Century Gothic" w:cs="Arial"/>
          <w:color w:val="000000"/>
          <w:sz w:val="22"/>
          <w:szCs w:val="22"/>
        </w:rPr>
        <w:t>iciales</w:t>
      </w:r>
      <w:r>
        <w:rPr>
          <w:rFonts w:ascii="Century Gothic" w:hAnsi="Century Gothic" w:cs="Arial"/>
          <w:color w:val="000000"/>
          <w:spacing w:val="1"/>
          <w:sz w:val="22"/>
          <w:szCs w:val="22"/>
        </w:rPr>
        <w:t xml:space="preserve"> </w:t>
      </w:r>
      <w:r>
        <w:rPr>
          <w:rFonts w:ascii="Century Gothic" w:hAnsi="Century Gothic" w:cs="Arial"/>
          <w:color w:val="000000"/>
          <w:sz w:val="22"/>
          <w:szCs w:val="22"/>
        </w:rPr>
        <w:t>(</w:t>
      </w:r>
      <w:r>
        <w:rPr>
          <w:rFonts w:ascii="Century Gothic" w:hAnsi="Century Gothic" w:cs="Arial"/>
          <w:color w:val="000000"/>
          <w:spacing w:val="-1"/>
          <w:sz w:val="22"/>
          <w:szCs w:val="22"/>
        </w:rPr>
        <w:t>p</w:t>
      </w:r>
      <w:r>
        <w:rPr>
          <w:rFonts w:ascii="Century Gothic" w:hAnsi="Century Gothic" w:cs="Arial"/>
          <w:color w:val="000000"/>
          <w:spacing w:val="-2"/>
          <w:sz w:val="22"/>
          <w:szCs w:val="22"/>
        </w:rPr>
        <w:t>e</w:t>
      </w:r>
      <w:r>
        <w:rPr>
          <w:rFonts w:ascii="Century Gothic" w:hAnsi="Century Gothic" w:cs="Arial"/>
          <w:color w:val="000000"/>
          <w:sz w:val="22"/>
          <w:szCs w:val="22"/>
        </w:rPr>
        <w:t>n</w:t>
      </w:r>
      <w:r>
        <w:rPr>
          <w:rFonts w:ascii="Century Gothic" w:hAnsi="Century Gothic" w:cs="Arial"/>
          <w:color w:val="000000"/>
          <w:spacing w:val="1"/>
          <w:sz w:val="22"/>
          <w:szCs w:val="22"/>
        </w:rPr>
        <w:t>a</w:t>
      </w:r>
      <w:r>
        <w:rPr>
          <w:rFonts w:ascii="Century Gothic" w:hAnsi="Century Gothic" w:cs="Arial"/>
          <w:color w:val="000000"/>
          <w:sz w:val="22"/>
          <w:szCs w:val="22"/>
        </w:rPr>
        <w:t>les) por ac</w:t>
      </w:r>
      <w:r>
        <w:rPr>
          <w:rFonts w:ascii="Century Gothic" w:hAnsi="Century Gothic" w:cs="Arial"/>
          <w:color w:val="000000"/>
          <w:spacing w:val="1"/>
          <w:sz w:val="22"/>
          <w:szCs w:val="22"/>
        </w:rPr>
        <w:t>t</w:t>
      </w:r>
      <w:r>
        <w:rPr>
          <w:rFonts w:ascii="Century Gothic" w:hAnsi="Century Gothic" w:cs="Arial"/>
          <w:color w:val="000000"/>
          <w:sz w:val="22"/>
          <w:szCs w:val="22"/>
        </w:rPr>
        <w:t>i</w:t>
      </w:r>
      <w:r>
        <w:rPr>
          <w:rFonts w:ascii="Century Gothic" w:hAnsi="Century Gothic" w:cs="Arial"/>
          <w:color w:val="000000"/>
          <w:spacing w:val="-2"/>
          <w:sz w:val="22"/>
          <w:szCs w:val="22"/>
        </w:rPr>
        <w:t>v</w:t>
      </w:r>
      <w:r>
        <w:rPr>
          <w:rFonts w:ascii="Century Gothic" w:hAnsi="Century Gothic" w:cs="Arial"/>
          <w:color w:val="000000"/>
          <w:spacing w:val="-1"/>
          <w:sz w:val="22"/>
          <w:szCs w:val="22"/>
        </w:rPr>
        <w:t>i</w:t>
      </w:r>
      <w:r>
        <w:rPr>
          <w:rFonts w:ascii="Century Gothic" w:hAnsi="Century Gothic" w:cs="Arial"/>
          <w:color w:val="000000"/>
          <w:sz w:val="22"/>
          <w:szCs w:val="22"/>
        </w:rPr>
        <w:t>d</w:t>
      </w:r>
      <w:r>
        <w:rPr>
          <w:rFonts w:ascii="Century Gothic" w:hAnsi="Century Gothic" w:cs="Arial"/>
          <w:color w:val="000000"/>
          <w:spacing w:val="1"/>
          <w:sz w:val="22"/>
          <w:szCs w:val="22"/>
        </w:rPr>
        <w:t>ade</w:t>
      </w:r>
      <w:r>
        <w:rPr>
          <w:rFonts w:ascii="Century Gothic" w:hAnsi="Century Gothic" w:cs="Arial"/>
          <w:color w:val="000000"/>
          <w:sz w:val="22"/>
          <w:szCs w:val="22"/>
        </w:rPr>
        <w:t>s</w:t>
      </w:r>
      <w:r>
        <w:rPr>
          <w:rFonts w:ascii="Century Gothic" w:hAnsi="Century Gothic" w:cs="Arial"/>
          <w:color w:val="000000"/>
          <w:spacing w:val="-1"/>
          <w:sz w:val="22"/>
          <w:szCs w:val="22"/>
        </w:rPr>
        <w:t xml:space="preserve"> </w:t>
      </w:r>
      <w:r>
        <w:rPr>
          <w:rFonts w:ascii="Century Gothic" w:hAnsi="Century Gothic" w:cs="Arial"/>
          <w:color w:val="000000"/>
          <w:sz w:val="22"/>
          <w:szCs w:val="22"/>
        </w:rPr>
        <w:t>d</w:t>
      </w:r>
      <w:r>
        <w:rPr>
          <w:rFonts w:ascii="Century Gothic" w:hAnsi="Century Gothic" w:cs="Arial"/>
          <w:color w:val="000000"/>
          <w:spacing w:val="1"/>
          <w:sz w:val="22"/>
          <w:szCs w:val="22"/>
        </w:rPr>
        <w:t>e</w:t>
      </w:r>
      <w:r>
        <w:rPr>
          <w:rFonts w:ascii="Century Gothic" w:hAnsi="Century Gothic" w:cs="Arial"/>
          <w:color w:val="000000"/>
          <w:sz w:val="22"/>
          <w:szCs w:val="22"/>
        </w:rPr>
        <w:t>licti</w:t>
      </w:r>
      <w:r>
        <w:rPr>
          <w:rFonts w:ascii="Century Gothic" w:hAnsi="Century Gothic" w:cs="Arial"/>
          <w:color w:val="000000"/>
          <w:spacing w:val="-2"/>
          <w:sz w:val="22"/>
          <w:szCs w:val="22"/>
        </w:rPr>
        <w:t>v</w:t>
      </w:r>
      <w:r>
        <w:rPr>
          <w:rFonts w:ascii="Century Gothic" w:hAnsi="Century Gothic" w:cs="Arial"/>
          <w:color w:val="000000"/>
          <w:sz w:val="22"/>
          <w:szCs w:val="22"/>
        </w:rPr>
        <w:t>as c</w:t>
      </w:r>
      <w:r>
        <w:rPr>
          <w:rFonts w:ascii="Century Gothic" w:hAnsi="Century Gothic" w:cs="Arial"/>
          <w:color w:val="000000"/>
          <w:spacing w:val="1"/>
          <w:sz w:val="22"/>
          <w:szCs w:val="22"/>
        </w:rPr>
        <w:t>one</w:t>
      </w:r>
      <w:r>
        <w:rPr>
          <w:rFonts w:ascii="Century Gothic" w:hAnsi="Century Gothic" w:cs="Arial"/>
          <w:color w:val="000000"/>
          <w:spacing w:val="-2"/>
          <w:sz w:val="22"/>
          <w:szCs w:val="22"/>
        </w:rPr>
        <w:t>x</w:t>
      </w:r>
      <w:r>
        <w:rPr>
          <w:rFonts w:ascii="Century Gothic" w:hAnsi="Century Gothic" w:cs="Arial"/>
          <w:color w:val="000000"/>
          <w:sz w:val="22"/>
          <w:szCs w:val="22"/>
        </w:rPr>
        <w:t>as</w:t>
      </w:r>
      <w:r>
        <w:rPr>
          <w:rFonts w:ascii="Century Gothic" w:hAnsi="Century Gothic" w:cs="Arial"/>
          <w:color w:val="000000"/>
          <w:spacing w:val="1"/>
          <w:sz w:val="22"/>
          <w:szCs w:val="22"/>
        </w:rPr>
        <w:t xml:space="preserve"> </w:t>
      </w:r>
      <w:r>
        <w:rPr>
          <w:rFonts w:ascii="Century Gothic" w:hAnsi="Century Gothic" w:cs="Arial"/>
          <w:color w:val="000000"/>
          <w:sz w:val="22"/>
          <w:szCs w:val="22"/>
        </w:rPr>
        <w:t>c</w:t>
      </w:r>
      <w:r>
        <w:rPr>
          <w:rFonts w:ascii="Century Gothic" w:hAnsi="Century Gothic" w:cs="Arial"/>
          <w:color w:val="000000"/>
          <w:spacing w:val="1"/>
          <w:sz w:val="22"/>
          <w:szCs w:val="22"/>
        </w:rPr>
        <w:t>o</w:t>
      </w:r>
      <w:r>
        <w:rPr>
          <w:rFonts w:ascii="Century Gothic" w:hAnsi="Century Gothic" w:cs="Arial"/>
          <w:color w:val="000000"/>
          <w:sz w:val="22"/>
          <w:szCs w:val="22"/>
        </w:rPr>
        <w:t xml:space="preserve">n el </w:t>
      </w:r>
      <w:r>
        <w:rPr>
          <w:rFonts w:ascii="Century Gothic" w:hAnsi="Century Gothic" w:cs="Arial"/>
          <w:color w:val="000000"/>
          <w:spacing w:val="1"/>
          <w:sz w:val="22"/>
          <w:szCs w:val="22"/>
        </w:rPr>
        <w:t>L</w:t>
      </w:r>
      <w:r>
        <w:rPr>
          <w:rFonts w:ascii="Century Gothic" w:hAnsi="Century Gothic" w:cs="Arial"/>
          <w:color w:val="000000"/>
          <w:sz w:val="22"/>
          <w:szCs w:val="22"/>
        </w:rPr>
        <w:t>A</w:t>
      </w:r>
      <w:r>
        <w:rPr>
          <w:rFonts w:ascii="Century Gothic" w:hAnsi="Century Gothic" w:cs="Arial"/>
          <w:color w:val="000000"/>
          <w:spacing w:val="1"/>
          <w:sz w:val="22"/>
          <w:szCs w:val="22"/>
        </w:rPr>
        <w:t>/</w:t>
      </w:r>
      <w:r>
        <w:rPr>
          <w:rFonts w:ascii="Century Gothic" w:hAnsi="Century Gothic" w:cs="Arial"/>
          <w:color w:val="000000"/>
          <w:spacing w:val="-2"/>
          <w:sz w:val="22"/>
          <w:szCs w:val="22"/>
        </w:rPr>
        <w:t>F</w:t>
      </w:r>
      <w:r>
        <w:rPr>
          <w:rFonts w:ascii="Century Gothic" w:hAnsi="Century Gothic" w:cs="Arial"/>
          <w:color w:val="000000"/>
          <w:sz w:val="22"/>
          <w:szCs w:val="22"/>
        </w:rPr>
        <w:t>T.</w:t>
      </w:r>
    </w:p>
    <w:p w14:paraId="4D7C8A25">
      <w:pPr>
        <w:pStyle w:val="65"/>
        <w:widowControl w:val="0"/>
        <w:numPr>
          <w:ilvl w:val="0"/>
          <w:numId w:val="29"/>
        </w:numPr>
        <w:autoSpaceDE w:val="0"/>
        <w:autoSpaceDN w:val="0"/>
        <w:adjustRightInd w:val="0"/>
        <w:spacing w:line="243" w:lineRule="auto"/>
        <w:ind w:right="50"/>
        <w:rPr>
          <w:rFonts w:ascii="Century Gothic" w:hAnsi="Century Gothic" w:cs="Arial"/>
          <w:sz w:val="22"/>
          <w:szCs w:val="22"/>
        </w:rPr>
      </w:pPr>
      <w:r>
        <w:rPr>
          <w:rFonts w:ascii="Century Gothic" w:hAnsi="Century Gothic" w:cs="Arial"/>
          <w:color w:val="000000"/>
          <w:spacing w:val="2"/>
          <w:sz w:val="22"/>
          <w:szCs w:val="22"/>
        </w:rPr>
        <w:t>T</w:t>
      </w:r>
      <w:r>
        <w:rPr>
          <w:rFonts w:ascii="Century Gothic" w:hAnsi="Century Gothic" w:cs="Arial"/>
          <w:color w:val="000000"/>
          <w:sz w:val="22"/>
          <w:szCs w:val="22"/>
        </w:rPr>
        <w:t>od</w:t>
      </w:r>
      <w:r>
        <w:rPr>
          <w:rFonts w:ascii="Century Gothic" w:hAnsi="Century Gothic" w:cs="Arial"/>
          <w:color w:val="000000"/>
          <w:spacing w:val="1"/>
          <w:sz w:val="22"/>
          <w:szCs w:val="22"/>
        </w:rPr>
        <w:t>o</w:t>
      </w:r>
      <w:r>
        <w:rPr>
          <w:rFonts w:ascii="Century Gothic" w:hAnsi="Century Gothic" w:cs="Arial"/>
          <w:color w:val="000000"/>
          <w:sz w:val="22"/>
          <w:szCs w:val="22"/>
        </w:rPr>
        <w:t>s</w:t>
      </w:r>
      <w:r>
        <w:rPr>
          <w:rFonts w:ascii="Century Gothic" w:hAnsi="Century Gothic" w:cs="Arial"/>
          <w:color w:val="000000"/>
          <w:spacing w:val="24"/>
          <w:sz w:val="22"/>
          <w:szCs w:val="22"/>
        </w:rPr>
        <w:t xml:space="preserve"> </w:t>
      </w:r>
      <w:r>
        <w:rPr>
          <w:rFonts w:ascii="Century Gothic" w:hAnsi="Century Gothic" w:cs="Arial"/>
          <w:color w:val="000000"/>
          <w:sz w:val="22"/>
          <w:szCs w:val="22"/>
        </w:rPr>
        <w:t>los</w:t>
      </w:r>
      <w:r>
        <w:rPr>
          <w:rFonts w:ascii="Century Gothic" w:hAnsi="Century Gothic" w:cs="Arial"/>
          <w:color w:val="000000"/>
          <w:spacing w:val="25"/>
          <w:sz w:val="22"/>
          <w:szCs w:val="22"/>
        </w:rPr>
        <w:t xml:space="preserve"> </w:t>
      </w:r>
      <w:r>
        <w:rPr>
          <w:rFonts w:ascii="Century Gothic" w:hAnsi="Century Gothic" w:cs="Arial"/>
          <w:color w:val="000000"/>
          <w:sz w:val="22"/>
          <w:szCs w:val="22"/>
        </w:rPr>
        <w:t>f</w:t>
      </w:r>
      <w:r>
        <w:rPr>
          <w:rFonts w:ascii="Century Gothic" w:hAnsi="Century Gothic" w:cs="Arial"/>
          <w:color w:val="000000"/>
          <w:spacing w:val="1"/>
          <w:sz w:val="22"/>
          <w:szCs w:val="22"/>
        </w:rPr>
        <w:t>un</w:t>
      </w:r>
      <w:r>
        <w:rPr>
          <w:rFonts w:ascii="Century Gothic" w:hAnsi="Century Gothic" w:cs="Arial"/>
          <w:color w:val="000000"/>
          <w:sz w:val="22"/>
          <w:szCs w:val="22"/>
        </w:rPr>
        <w:t>ci</w:t>
      </w:r>
      <w:r>
        <w:rPr>
          <w:rFonts w:ascii="Century Gothic" w:hAnsi="Century Gothic" w:cs="Arial"/>
          <w:color w:val="000000"/>
          <w:spacing w:val="-1"/>
          <w:sz w:val="22"/>
          <w:szCs w:val="22"/>
        </w:rPr>
        <w:t>o</w:t>
      </w:r>
      <w:r>
        <w:rPr>
          <w:rFonts w:ascii="Century Gothic" w:hAnsi="Century Gothic" w:cs="Arial"/>
          <w:color w:val="000000"/>
          <w:sz w:val="22"/>
          <w:szCs w:val="22"/>
        </w:rPr>
        <w:t>n</w:t>
      </w:r>
      <w:r>
        <w:rPr>
          <w:rFonts w:ascii="Century Gothic" w:hAnsi="Century Gothic" w:cs="Arial"/>
          <w:color w:val="000000"/>
          <w:spacing w:val="1"/>
          <w:sz w:val="22"/>
          <w:szCs w:val="22"/>
        </w:rPr>
        <w:t>a</w:t>
      </w:r>
      <w:r>
        <w:rPr>
          <w:rFonts w:ascii="Century Gothic" w:hAnsi="Century Gothic" w:cs="Arial"/>
          <w:color w:val="000000"/>
          <w:sz w:val="22"/>
          <w:szCs w:val="22"/>
        </w:rPr>
        <w:t>rios</w:t>
      </w:r>
      <w:r>
        <w:rPr>
          <w:rFonts w:ascii="Century Gothic" w:hAnsi="Century Gothic" w:cs="Arial"/>
          <w:color w:val="000000"/>
          <w:spacing w:val="24"/>
          <w:sz w:val="22"/>
          <w:szCs w:val="22"/>
        </w:rPr>
        <w:t xml:space="preserve"> </w:t>
      </w:r>
      <w:r>
        <w:rPr>
          <w:rFonts w:ascii="Century Gothic" w:hAnsi="Century Gothic" w:cs="Arial"/>
          <w:color w:val="000000"/>
          <w:spacing w:val="1"/>
          <w:sz w:val="22"/>
          <w:szCs w:val="22"/>
        </w:rPr>
        <w:t>d</w:t>
      </w:r>
      <w:r>
        <w:rPr>
          <w:rFonts w:ascii="Century Gothic" w:hAnsi="Century Gothic" w:cs="Arial"/>
          <w:color w:val="000000"/>
          <w:sz w:val="22"/>
          <w:szCs w:val="22"/>
        </w:rPr>
        <w:t>e</w:t>
      </w:r>
      <w:r>
        <w:rPr>
          <w:rFonts w:ascii="Century Gothic" w:hAnsi="Century Gothic" w:cs="Arial"/>
          <w:color w:val="000000"/>
          <w:spacing w:val="26"/>
          <w:sz w:val="22"/>
          <w:szCs w:val="22"/>
        </w:rPr>
        <w:t xml:space="preserve"> </w:t>
      </w:r>
      <w:r>
        <w:rPr>
          <w:rFonts w:ascii="Century Gothic" w:hAnsi="Century Gothic" w:cs="Arial"/>
          <w:color w:val="000000"/>
          <w:sz w:val="22"/>
          <w:szCs w:val="22"/>
        </w:rPr>
        <w:t>la Entidad</w:t>
      </w:r>
      <w:r>
        <w:rPr>
          <w:rFonts w:ascii="Century Gothic" w:hAnsi="Century Gothic" w:cs="Arial"/>
          <w:color w:val="000000"/>
          <w:spacing w:val="26"/>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pacing w:val="-1"/>
          <w:sz w:val="22"/>
          <w:szCs w:val="22"/>
        </w:rPr>
        <w:t>s</w:t>
      </w:r>
      <w:r>
        <w:rPr>
          <w:rFonts w:ascii="Century Gothic" w:hAnsi="Century Gothic" w:cs="Arial"/>
          <w:color w:val="000000"/>
          <w:sz w:val="22"/>
          <w:szCs w:val="22"/>
        </w:rPr>
        <w:t>ta</w:t>
      </w:r>
      <w:r>
        <w:rPr>
          <w:rFonts w:ascii="Century Gothic" w:hAnsi="Century Gothic" w:cs="Arial"/>
          <w:color w:val="000000"/>
          <w:spacing w:val="-2"/>
          <w:sz w:val="22"/>
          <w:szCs w:val="22"/>
        </w:rPr>
        <w:t>r</w:t>
      </w:r>
      <w:r>
        <w:rPr>
          <w:rFonts w:ascii="Century Gothic" w:hAnsi="Century Gothic" w:cs="Arial"/>
          <w:color w:val="000000"/>
          <w:sz w:val="22"/>
          <w:szCs w:val="22"/>
        </w:rPr>
        <w:t>án</w:t>
      </w:r>
      <w:r>
        <w:rPr>
          <w:rFonts w:ascii="Century Gothic" w:hAnsi="Century Gothic" w:cs="Arial"/>
          <w:color w:val="000000"/>
          <w:spacing w:val="28"/>
          <w:sz w:val="22"/>
          <w:szCs w:val="22"/>
        </w:rPr>
        <w:t xml:space="preserve"> </w:t>
      </w:r>
      <w:r>
        <w:rPr>
          <w:rFonts w:ascii="Century Gothic" w:hAnsi="Century Gothic" w:cs="Arial"/>
          <w:color w:val="000000"/>
          <w:spacing w:val="-2"/>
          <w:sz w:val="22"/>
          <w:szCs w:val="22"/>
        </w:rPr>
        <w:t>s</w:t>
      </w:r>
      <w:r>
        <w:rPr>
          <w:rFonts w:ascii="Century Gothic" w:hAnsi="Century Gothic" w:cs="Arial"/>
          <w:color w:val="000000"/>
          <w:sz w:val="22"/>
          <w:szCs w:val="22"/>
        </w:rPr>
        <w:t>uj</w:t>
      </w:r>
      <w:r>
        <w:rPr>
          <w:rFonts w:ascii="Century Gothic" w:hAnsi="Century Gothic" w:cs="Arial"/>
          <w:color w:val="000000"/>
          <w:spacing w:val="1"/>
          <w:sz w:val="22"/>
          <w:szCs w:val="22"/>
        </w:rPr>
        <w:t>e</w:t>
      </w:r>
      <w:r>
        <w:rPr>
          <w:rFonts w:ascii="Century Gothic" w:hAnsi="Century Gothic" w:cs="Arial"/>
          <w:color w:val="000000"/>
          <w:sz w:val="22"/>
          <w:szCs w:val="22"/>
        </w:rPr>
        <w:t>t</w:t>
      </w:r>
      <w:r>
        <w:rPr>
          <w:rFonts w:ascii="Century Gothic" w:hAnsi="Century Gothic" w:cs="Arial"/>
          <w:color w:val="000000"/>
          <w:spacing w:val="1"/>
          <w:sz w:val="22"/>
          <w:szCs w:val="22"/>
        </w:rPr>
        <w:t>o</w:t>
      </w:r>
      <w:r>
        <w:rPr>
          <w:rFonts w:ascii="Century Gothic" w:hAnsi="Century Gothic" w:cs="Arial"/>
          <w:color w:val="000000"/>
          <w:sz w:val="22"/>
          <w:szCs w:val="22"/>
        </w:rPr>
        <w:t>s</w:t>
      </w:r>
      <w:r>
        <w:rPr>
          <w:rFonts w:ascii="Century Gothic" w:hAnsi="Century Gothic" w:cs="Arial"/>
          <w:color w:val="000000"/>
          <w:spacing w:val="25"/>
          <w:sz w:val="22"/>
          <w:szCs w:val="22"/>
        </w:rPr>
        <w:t xml:space="preserve"> </w:t>
      </w:r>
      <w:r>
        <w:rPr>
          <w:rFonts w:ascii="Century Gothic" w:hAnsi="Century Gothic" w:cs="Arial"/>
          <w:color w:val="000000"/>
          <w:sz w:val="22"/>
          <w:szCs w:val="22"/>
        </w:rPr>
        <w:t>a</w:t>
      </w:r>
      <w:r>
        <w:rPr>
          <w:rFonts w:ascii="Century Gothic" w:hAnsi="Century Gothic" w:cs="Arial"/>
          <w:color w:val="000000"/>
          <w:spacing w:val="25"/>
          <w:sz w:val="22"/>
          <w:szCs w:val="22"/>
        </w:rPr>
        <w:t xml:space="preserve"> </w:t>
      </w:r>
      <w:r>
        <w:rPr>
          <w:rFonts w:ascii="Century Gothic" w:hAnsi="Century Gothic" w:cs="Arial"/>
          <w:color w:val="000000"/>
          <w:sz w:val="22"/>
          <w:szCs w:val="22"/>
        </w:rPr>
        <w:t>l</w:t>
      </w:r>
      <w:r>
        <w:rPr>
          <w:rFonts w:ascii="Century Gothic" w:hAnsi="Century Gothic" w:cs="Arial"/>
          <w:color w:val="000000"/>
          <w:spacing w:val="1"/>
          <w:sz w:val="22"/>
          <w:szCs w:val="22"/>
        </w:rPr>
        <w:t>o</w:t>
      </w:r>
      <w:r>
        <w:rPr>
          <w:rFonts w:ascii="Century Gothic" w:hAnsi="Century Gothic" w:cs="Arial"/>
          <w:color w:val="000000"/>
          <w:sz w:val="22"/>
          <w:szCs w:val="22"/>
        </w:rPr>
        <w:t>s</w:t>
      </w:r>
      <w:r>
        <w:rPr>
          <w:rFonts w:ascii="Century Gothic" w:hAnsi="Century Gothic" w:cs="Arial"/>
          <w:color w:val="000000"/>
          <w:spacing w:val="26"/>
          <w:sz w:val="22"/>
          <w:szCs w:val="22"/>
        </w:rPr>
        <w:t xml:space="preserve"> </w:t>
      </w:r>
      <w:r>
        <w:rPr>
          <w:rFonts w:ascii="Century Gothic" w:hAnsi="Century Gothic" w:cs="Arial"/>
          <w:color w:val="000000"/>
          <w:spacing w:val="-1"/>
          <w:sz w:val="22"/>
          <w:szCs w:val="22"/>
        </w:rPr>
        <w:t>c</w:t>
      </w:r>
      <w:r>
        <w:rPr>
          <w:rFonts w:ascii="Century Gothic" w:hAnsi="Century Gothic" w:cs="Arial"/>
          <w:color w:val="000000"/>
          <w:sz w:val="22"/>
          <w:szCs w:val="22"/>
        </w:rPr>
        <w:t>o</w:t>
      </w:r>
      <w:r>
        <w:rPr>
          <w:rFonts w:ascii="Century Gothic" w:hAnsi="Century Gothic" w:cs="Arial"/>
          <w:color w:val="000000"/>
          <w:spacing w:val="1"/>
          <w:sz w:val="22"/>
          <w:szCs w:val="22"/>
        </w:rPr>
        <w:t>n</w:t>
      </w:r>
      <w:r>
        <w:rPr>
          <w:rFonts w:ascii="Century Gothic" w:hAnsi="Century Gothic" w:cs="Arial"/>
          <w:color w:val="000000"/>
          <w:sz w:val="22"/>
          <w:szCs w:val="22"/>
        </w:rPr>
        <w:t>t</w:t>
      </w:r>
      <w:r>
        <w:rPr>
          <w:rFonts w:ascii="Century Gothic" w:hAnsi="Century Gothic" w:cs="Arial"/>
          <w:color w:val="000000"/>
          <w:spacing w:val="-2"/>
          <w:sz w:val="22"/>
          <w:szCs w:val="22"/>
        </w:rPr>
        <w:t>r</w:t>
      </w:r>
      <w:r>
        <w:rPr>
          <w:rFonts w:ascii="Century Gothic" w:hAnsi="Century Gothic" w:cs="Arial"/>
          <w:color w:val="000000"/>
          <w:sz w:val="22"/>
          <w:szCs w:val="22"/>
        </w:rPr>
        <w:t>ol</w:t>
      </w:r>
      <w:r>
        <w:rPr>
          <w:rFonts w:ascii="Century Gothic" w:hAnsi="Century Gothic" w:cs="Arial"/>
          <w:color w:val="000000"/>
          <w:spacing w:val="1"/>
          <w:sz w:val="22"/>
          <w:szCs w:val="22"/>
        </w:rPr>
        <w:t>e</w:t>
      </w:r>
      <w:r>
        <w:rPr>
          <w:rFonts w:ascii="Century Gothic" w:hAnsi="Century Gothic" w:cs="Arial"/>
          <w:color w:val="000000"/>
          <w:sz w:val="22"/>
          <w:szCs w:val="22"/>
        </w:rPr>
        <w:t>s</w:t>
      </w:r>
      <w:r>
        <w:rPr>
          <w:rFonts w:ascii="Century Gothic" w:hAnsi="Century Gothic" w:cs="Arial"/>
          <w:color w:val="000000"/>
          <w:spacing w:val="27"/>
          <w:sz w:val="22"/>
          <w:szCs w:val="22"/>
        </w:rPr>
        <w:t xml:space="preserve"> </w:t>
      </w:r>
      <w:r>
        <w:rPr>
          <w:rFonts w:ascii="Century Gothic" w:hAnsi="Century Gothic" w:cs="Arial"/>
          <w:color w:val="000000"/>
          <w:spacing w:val="-1"/>
          <w:sz w:val="22"/>
          <w:szCs w:val="22"/>
        </w:rPr>
        <w:t>q</w:t>
      </w:r>
      <w:r>
        <w:rPr>
          <w:rFonts w:ascii="Century Gothic" w:hAnsi="Century Gothic" w:cs="Arial"/>
          <w:color w:val="000000"/>
          <w:sz w:val="22"/>
          <w:szCs w:val="22"/>
        </w:rPr>
        <w:t>ue</w:t>
      </w:r>
      <w:r>
        <w:rPr>
          <w:rFonts w:ascii="Century Gothic" w:hAnsi="Century Gothic" w:cs="Arial"/>
          <w:sz w:val="22"/>
          <w:szCs w:val="22"/>
        </w:rPr>
        <w:t xml:space="preserve"> </w:t>
      </w:r>
      <w:r>
        <w:rPr>
          <w:rFonts w:ascii="Century Gothic" w:hAnsi="Century Gothic" w:cs="Arial"/>
          <w:color w:val="000000"/>
          <w:sz w:val="22"/>
          <w:szCs w:val="22"/>
        </w:rPr>
        <w:t>se</w:t>
      </w:r>
      <w:r>
        <w:rPr>
          <w:rFonts w:ascii="Century Gothic" w:hAnsi="Century Gothic" w:cs="Arial"/>
          <w:color w:val="000000"/>
          <w:spacing w:val="13"/>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z w:val="22"/>
          <w:szCs w:val="22"/>
        </w:rPr>
        <w:t>stimen</w:t>
      </w:r>
      <w:r>
        <w:rPr>
          <w:rFonts w:ascii="Century Gothic" w:hAnsi="Century Gothic" w:cs="Arial"/>
          <w:color w:val="000000"/>
          <w:spacing w:val="14"/>
          <w:sz w:val="22"/>
          <w:szCs w:val="22"/>
        </w:rPr>
        <w:t xml:space="preserve"> </w:t>
      </w:r>
      <w:r>
        <w:rPr>
          <w:rFonts w:ascii="Century Gothic" w:hAnsi="Century Gothic" w:cs="Arial"/>
          <w:color w:val="000000"/>
          <w:sz w:val="22"/>
          <w:szCs w:val="22"/>
        </w:rPr>
        <w:t>p</w:t>
      </w:r>
      <w:r>
        <w:rPr>
          <w:rFonts w:ascii="Century Gothic" w:hAnsi="Century Gothic" w:cs="Arial"/>
          <w:color w:val="000000"/>
          <w:spacing w:val="1"/>
          <w:sz w:val="22"/>
          <w:szCs w:val="22"/>
        </w:rPr>
        <w:t>e</w:t>
      </w:r>
      <w:r>
        <w:rPr>
          <w:rFonts w:ascii="Century Gothic" w:hAnsi="Century Gothic" w:cs="Arial"/>
          <w:color w:val="000000"/>
          <w:sz w:val="22"/>
          <w:szCs w:val="22"/>
        </w:rPr>
        <w:t>rt</w:t>
      </w:r>
      <w:r>
        <w:rPr>
          <w:rFonts w:ascii="Century Gothic" w:hAnsi="Century Gothic" w:cs="Arial"/>
          <w:color w:val="000000"/>
          <w:spacing w:val="-2"/>
          <w:sz w:val="22"/>
          <w:szCs w:val="22"/>
        </w:rPr>
        <w:t>i</w:t>
      </w:r>
      <w:r>
        <w:rPr>
          <w:rFonts w:ascii="Century Gothic" w:hAnsi="Century Gothic" w:cs="Arial"/>
          <w:color w:val="000000"/>
          <w:sz w:val="22"/>
          <w:szCs w:val="22"/>
        </w:rPr>
        <w:t>n</w:t>
      </w:r>
      <w:r>
        <w:rPr>
          <w:rFonts w:ascii="Century Gothic" w:hAnsi="Century Gothic" w:cs="Arial"/>
          <w:color w:val="000000"/>
          <w:spacing w:val="1"/>
          <w:sz w:val="22"/>
          <w:szCs w:val="22"/>
        </w:rPr>
        <w:t>e</w:t>
      </w:r>
      <w:r>
        <w:rPr>
          <w:rFonts w:ascii="Century Gothic" w:hAnsi="Century Gothic" w:cs="Arial"/>
          <w:color w:val="000000"/>
          <w:sz w:val="22"/>
          <w:szCs w:val="22"/>
        </w:rPr>
        <w:t>ntes</w:t>
      </w:r>
      <w:r>
        <w:rPr>
          <w:rFonts w:ascii="Century Gothic" w:hAnsi="Century Gothic" w:cs="Arial"/>
          <w:color w:val="000000"/>
          <w:spacing w:val="10"/>
          <w:sz w:val="22"/>
          <w:szCs w:val="22"/>
        </w:rPr>
        <w:t xml:space="preserve"> </w:t>
      </w:r>
      <w:r>
        <w:rPr>
          <w:rFonts w:ascii="Century Gothic" w:hAnsi="Century Gothic" w:cs="Arial"/>
          <w:color w:val="000000"/>
          <w:spacing w:val="1"/>
          <w:sz w:val="22"/>
          <w:szCs w:val="22"/>
        </w:rPr>
        <w:t>pa</w:t>
      </w:r>
      <w:r>
        <w:rPr>
          <w:rFonts w:ascii="Century Gothic" w:hAnsi="Century Gothic" w:cs="Arial"/>
          <w:color w:val="000000"/>
          <w:sz w:val="22"/>
          <w:szCs w:val="22"/>
        </w:rPr>
        <w:t>ra</w:t>
      </w:r>
      <w:r>
        <w:rPr>
          <w:rFonts w:ascii="Century Gothic" w:hAnsi="Century Gothic" w:cs="Arial"/>
          <w:color w:val="000000"/>
          <w:spacing w:val="13"/>
          <w:sz w:val="22"/>
          <w:szCs w:val="22"/>
        </w:rPr>
        <w:t xml:space="preserve"> </w:t>
      </w:r>
      <w:r>
        <w:rPr>
          <w:rFonts w:ascii="Century Gothic" w:hAnsi="Century Gothic" w:cs="Arial"/>
          <w:color w:val="000000"/>
          <w:spacing w:val="1"/>
          <w:sz w:val="22"/>
          <w:szCs w:val="22"/>
        </w:rPr>
        <w:t>p</w:t>
      </w:r>
      <w:r>
        <w:rPr>
          <w:rFonts w:ascii="Century Gothic" w:hAnsi="Century Gothic" w:cs="Arial"/>
          <w:color w:val="000000"/>
          <w:sz w:val="22"/>
          <w:szCs w:val="22"/>
        </w:rPr>
        <w:t>re</w:t>
      </w:r>
      <w:r>
        <w:rPr>
          <w:rFonts w:ascii="Century Gothic" w:hAnsi="Century Gothic" w:cs="Arial"/>
          <w:color w:val="000000"/>
          <w:spacing w:val="-2"/>
          <w:sz w:val="22"/>
          <w:szCs w:val="22"/>
        </w:rPr>
        <w:t>v</w:t>
      </w:r>
      <w:r>
        <w:rPr>
          <w:rFonts w:ascii="Century Gothic" w:hAnsi="Century Gothic" w:cs="Arial"/>
          <w:color w:val="000000"/>
          <w:sz w:val="22"/>
          <w:szCs w:val="22"/>
        </w:rPr>
        <w:t>e</w:t>
      </w:r>
      <w:r>
        <w:rPr>
          <w:rFonts w:ascii="Century Gothic" w:hAnsi="Century Gothic" w:cs="Arial"/>
          <w:color w:val="000000"/>
          <w:spacing w:val="1"/>
          <w:sz w:val="22"/>
          <w:szCs w:val="22"/>
        </w:rPr>
        <w:t>n</w:t>
      </w:r>
      <w:r>
        <w:rPr>
          <w:rFonts w:ascii="Century Gothic" w:hAnsi="Century Gothic" w:cs="Arial"/>
          <w:color w:val="000000"/>
          <w:sz w:val="22"/>
          <w:szCs w:val="22"/>
        </w:rPr>
        <w:t>ir</w:t>
      </w:r>
      <w:r>
        <w:rPr>
          <w:rFonts w:ascii="Century Gothic" w:hAnsi="Century Gothic" w:cs="Arial"/>
          <w:color w:val="000000"/>
          <w:spacing w:val="12"/>
          <w:sz w:val="22"/>
          <w:szCs w:val="22"/>
        </w:rPr>
        <w:t xml:space="preserve"> </w:t>
      </w:r>
      <w:r>
        <w:rPr>
          <w:rFonts w:ascii="Century Gothic" w:hAnsi="Century Gothic" w:cs="Arial"/>
          <w:color w:val="000000"/>
          <w:sz w:val="22"/>
          <w:szCs w:val="22"/>
        </w:rPr>
        <w:t>y</w:t>
      </w:r>
      <w:r>
        <w:rPr>
          <w:rFonts w:ascii="Century Gothic" w:hAnsi="Century Gothic" w:cs="Arial"/>
          <w:color w:val="000000"/>
          <w:spacing w:val="10"/>
          <w:sz w:val="22"/>
          <w:szCs w:val="22"/>
        </w:rPr>
        <w:t xml:space="preserve"> </w:t>
      </w:r>
      <w:r>
        <w:rPr>
          <w:rFonts w:ascii="Century Gothic" w:hAnsi="Century Gothic" w:cs="Arial"/>
          <w:color w:val="000000"/>
          <w:spacing w:val="1"/>
          <w:sz w:val="22"/>
          <w:szCs w:val="22"/>
        </w:rPr>
        <w:t>de</w:t>
      </w:r>
      <w:r>
        <w:rPr>
          <w:rFonts w:ascii="Century Gothic" w:hAnsi="Century Gothic" w:cs="Arial"/>
          <w:color w:val="000000"/>
          <w:sz w:val="22"/>
          <w:szCs w:val="22"/>
        </w:rPr>
        <w:t>t</w:t>
      </w:r>
      <w:r>
        <w:rPr>
          <w:rFonts w:ascii="Century Gothic" w:hAnsi="Century Gothic" w:cs="Arial"/>
          <w:color w:val="000000"/>
          <w:spacing w:val="1"/>
          <w:sz w:val="22"/>
          <w:szCs w:val="22"/>
        </w:rPr>
        <w:t>e</w:t>
      </w:r>
      <w:r>
        <w:rPr>
          <w:rFonts w:ascii="Century Gothic" w:hAnsi="Century Gothic" w:cs="Arial"/>
          <w:color w:val="000000"/>
          <w:sz w:val="22"/>
          <w:szCs w:val="22"/>
        </w:rPr>
        <w:t>c</w:t>
      </w:r>
      <w:r>
        <w:rPr>
          <w:rFonts w:ascii="Century Gothic" w:hAnsi="Century Gothic" w:cs="Arial"/>
          <w:color w:val="000000"/>
          <w:spacing w:val="1"/>
          <w:sz w:val="22"/>
          <w:szCs w:val="22"/>
        </w:rPr>
        <w:t>t</w:t>
      </w:r>
      <w:r>
        <w:rPr>
          <w:rFonts w:ascii="Century Gothic" w:hAnsi="Century Gothic" w:cs="Arial"/>
          <w:color w:val="000000"/>
          <w:sz w:val="22"/>
          <w:szCs w:val="22"/>
        </w:rPr>
        <w:t>ar</w:t>
      </w:r>
      <w:r>
        <w:rPr>
          <w:rFonts w:ascii="Century Gothic" w:hAnsi="Century Gothic" w:cs="Arial"/>
          <w:color w:val="000000"/>
          <w:spacing w:val="12"/>
          <w:sz w:val="22"/>
          <w:szCs w:val="22"/>
        </w:rPr>
        <w:t xml:space="preserve"> </w:t>
      </w:r>
      <w:r>
        <w:rPr>
          <w:rFonts w:ascii="Century Gothic" w:hAnsi="Century Gothic" w:cs="Arial"/>
          <w:color w:val="000000"/>
          <w:sz w:val="22"/>
          <w:szCs w:val="22"/>
        </w:rPr>
        <w:t>c</w:t>
      </w:r>
      <w:r>
        <w:rPr>
          <w:rFonts w:ascii="Century Gothic" w:hAnsi="Century Gothic" w:cs="Arial"/>
          <w:color w:val="000000"/>
          <w:spacing w:val="1"/>
          <w:sz w:val="22"/>
          <w:szCs w:val="22"/>
        </w:rPr>
        <w:t>ondu</w:t>
      </w:r>
      <w:r>
        <w:rPr>
          <w:rFonts w:ascii="Century Gothic" w:hAnsi="Century Gothic" w:cs="Arial"/>
          <w:color w:val="000000"/>
          <w:spacing w:val="-1"/>
          <w:sz w:val="22"/>
          <w:szCs w:val="22"/>
        </w:rPr>
        <w:t>c</w:t>
      </w:r>
      <w:r>
        <w:rPr>
          <w:rFonts w:ascii="Century Gothic" w:hAnsi="Century Gothic" w:cs="Arial"/>
          <w:color w:val="000000"/>
          <w:sz w:val="22"/>
          <w:szCs w:val="22"/>
        </w:rPr>
        <w:t>tas</w:t>
      </w:r>
      <w:r>
        <w:rPr>
          <w:rFonts w:ascii="Century Gothic" w:hAnsi="Century Gothic" w:cs="Arial"/>
          <w:color w:val="000000"/>
          <w:spacing w:val="13"/>
          <w:sz w:val="22"/>
          <w:szCs w:val="22"/>
        </w:rPr>
        <w:t xml:space="preserve"> </w:t>
      </w:r>
      <w:r>
        <w:rPr>
          <w:rFonts w:ascii="Century Gothic" w:hAnsi="Century Gothic" w:cs="Arial"/>
          <w:color w:val="000000"/>
          <w:sz w:val="22"/>
          <w:szCs w:val="22"/>
        </w:rPr>
        <w:t>corru</w:t>
      </w:r>
      <w:r>
        <w:rPr>
          <w:rFonts w:ascii="Century Gothic" w:hAnsi="Century Gothic" w:cs="Arial"/>
          <w:color w:val="000000"/>
          <w:spacing w:val="1"/>
          <w:sz w:val="22"/>
          <w:szCs w:val="22"/>
        </w:rPr>
        <w:t>p</w:t>
      </w:r>
      <w:r>
        <w:rPr>
          <w:rFonts w:ascii="Century Gothic" w:hAnsi="Century Gothic" w:cs="Arial"/>
          <w:color w:val="000000"/>
          <w:spacing w:val="-1"/>
          <w:sz w:val="22"/>
          <w:szCs w:val="22"/>
        </w:rPr>
        <w:t>t</w:t>
      </w:r>
      <w:r>
        <w:rPr>
          <w:rFonts w:ascii="Century Gothic" w:hAnsi="Century Gothic" w:cs="Arial"/>
          <w:color w:val="000000"/>
          <w:spacing w:val="-2"/>
          <w:sz w:val="22"/>
          <w:szCs w:val="22"/>
        </w:rPr>
        <w:t>a</w:t>
      </w:r>
      <w:r>
        <w:rPr>
          <w:rFonts w:ascii="Century Gothic" w:hAnsi="Century Gothic" w:cs="Arial"/>
          <w:color w:val="000000"/>
          <w:sz w:val="22"/>
          <w:szCs w:val="22"/>
        </w:rPr>
        <w:t>s</w:t>
      </w:r>
      <w:r>
        <w:rPr>
          <w:rFonts w:ascii="Century Gothic" w:hAnsi="Century Gothic" w:cs="Arial"/>
          <w:color w:val="000000"/>
          <w:spacing w:val="12"/>
          <w:sz w:val="22"/>
          <w:szCs w:val="22"/>
        </w:rPr>
        <w:t xml:space="preserve"> </w:t>
      </w:r>
      <w:r>
        <w:rPr>
          <w:rFonts w:ascii="Century Gothic" w:hAnsi="Century Gothic" w:cs="Arial"/>
          <w:color w:val="000000"/>
          <w:sz w:val="22"/>
          <w:szCs w:val="22"/>
        </w:rPr>
        <w:t>q</w:t>
      </w:r>
      <w:r>
        <w:rPr>
          <w:rFonts w:ascii="Century Gothic" w:hAnsi="Century Gothic" w:cs="Arial"/>
          <w:color w:val="000000"/>
          <w:spacing w:val="-1"/>
          <w:sz w:val="22"/>
          <w:szCs w:val="22"/>
        </w:rPr>
        <w:t>u</w:t>
      </w:r>
      <w:r>
        <w:rPr>
          <w:rFonts w:ascii="Century Gothic" w:hAnsi="Century Gothic" w:cs="Arial"/>
          <w:color w:val="000000"/>
          <w:sz w:val="22"/>
          <w:szCs w:val="22"/>
        </w:rPr>
        <w:t>e</w:t>
      </w:r>
      <w:r>
        <w:rPr>
          <w:rFonts w:ascii="Century Gothic" w:hAnsi="Century Gothic" w:cs="Arial"/>
          <w:color w:val="000000"/>
          <w:spacing w:val="14"/>
          <w:sz w:val="22"/>
          <w:szCs w:val="22"/>
        </w:rPr>
        <w:t xml:space="preserve"> </w:t>
      </w:r>
      <w:r>
        <w:rPr>
          <w:rFonts w:ascii="Century Gothic" w:hAnsi="Century Gothic" w:cs="Arial"/>
          <w:color w:val="000000"/>
          <w:sz w:val="22"/>
          <w:szCs w:val="22"/>
        </w:rPr>
        <w:t>ti</w:t>
      </w:r>
      <w:r>
        <w:rPr>
          <w:rFonts w:ascii="Century Gothic" w:hAnsi="Century Gothic" w:cs="Arial"/>
          <w:color w:val="000000"/>
          <w:spacing w:val="1"/>
          <w:sz w:val="22"/>
          <w:szCs w:val="22"/>
        </w:rPr>
        <w:t>end</w:t>
      </w:r>
      <w:r>
        <w:rPr>
          <w:rFonts w:ascii="Century Gothic" w:hAnsi="Century Gothic" w:cs="Arial"/>
          <w:color w:val="000000"/>
          <w:spacing w:val="-1"/>
          <w:sz w:val="22"/>
          <w:szCs w:val="22"/>
        </w:rPr>
        <w:t>a</w:t>
      </w:r>
      <w:r>
        <w:rPr>
          <w:rFonts w:ascii="Century Gothic" w:hAnsi="Century Gothic" w:cs="Arial"/>
          <w:color w:val="000000"/>
          <w:sz w:val="22"/>
          <w:szCs w:val="22"/>
        </w:rPr>
        <w:t>n</w:t>
      </w:r>
      <w:r>
        <w:rPr>
          <w:rFonts w:ascii="Century Gothic" w:hAnsi="Century Gothic" w:cs="Arial"/>
          <w:sz w:val="22"/>
          <w:szCs w:val="22"/>
        </w:rPr>
        <w:t xml:space="preserve"> </w:t>
      </w:r>
      <w:r>
        <w:rPr>
          <w:rFonts w:ascii="Century Gothic" w:hAnsi="Century Gothic" w:cs="Arial"/>
          <w:color w:val="000000"/>
          <w:sz w:val="22"/>
          <w:szCs w:val="22"/>
        </w:rPr>
        <w:t xml:space="preserve">a </w:t>
      </w:r>
      <w:r>
        <w:rPr>
          <w:rFonts w:ascii="Century Gothic" w:hAnsi="Century Gothic" w:cs="Arial"/>
          <w:color w:val="000000"/>
          <w:spacing w:val="1"/>
          <w:sz w:val="22"/>
          <w:szCs w:val="22"/>
        </w:rPr>
        <w:t>fa</w:t>
      </w:r>
      <w:r>
        <w:rPr>
          <w:rFonts w:ascii="Century Gothic" w:hAnsi="Century Gothic" w:cs="Arial"/>
          <w:color w:val="000000"/>
          <w:sz w:val="22"/>
          <w:szCs w:val="22"/>
        </w:rPr>
        <w:t xml:space="preserve">cilitar </w:t>
      </w:r>
      <w:r>
        <w:rPr>
          <w:rFonts w:ascii="Century Gothic" w:hAnsi="Century Gothic" w:cs="Arial"/>
          <w:color w:val="000000"/>
          <w:spacing w:val="1"/>
          <w:sz w:val="22"/>
          <w:szCs w:val="22"/>
        </w:rPr>
        <w:t>e</w:t>
      </w:r>
      <w:r>
        <w:rPr>
          <w:rFonts w:ascii="Century Gothic" w:hAnsi="Century Gothic" w:cs="Arial"/>
          <w:color w:val="000000"/>
          <w:sz w:val="22"/>
          <w:szCs w:val="22"/>
        </w:rPr>
        <w:t>l</w:t>
      </w:r>
      <w:r>
        <w:rPr>
          <w:rFonts w:ascii="Century Gothic" w:hAnsi="Century Gothic" w:cs="Arial"/>
          <w:color w:val="000000"/>
          <w:spacing w:val="-1"/>
          <w:sz w:val="22"/>
          <w:szCs w:val="22"/>
        </w:rPr>
        <w:t xml:space="preserve"> </w:t>
      </w:r>
      <w:r>
        <w:rPr>
          <w:rFonts w:ascii="Century Gothic" w:hAnsi="Century Gothic" w:cs="Arial"/>
          <w:color w:val="000000"/>
          <w:sz w:val="22"/>
          <w:szCs w:val="22"/>
        </w:rPr>
        <w:t>uso de</w:t>
      </w:r>
      <w:r>
        <w:rPr>
          <w:rFonts w:ascii="Century Gothic" w:hAnsi="Century Gothic" w:cs="Arial"/>
          <w:color w:val="000000"/>
          <w:spacing w:val="1"/>
          <w:sz w:val="22"/>
          <w:szCs w:val="22"/>
        </w:rPr>
        <w:t xml:space="preserve"> </w:t>
      </w:r>
      <w:r>
        <w:rPr>
          <w:rFonts w:ascii="Century Gothic" w:hAnsi="Century Gothic" w:cs="Arial"/>
          <w:color w:val="000000"/>
          <w:spacing w:val="-2"/>
          <w:sz w:val="22"/>
          <w:szCs w:val="22"/>
        </w:rPr>
        <w:t>l</w:t>
      </w:r>
      <w:r>
        <w:rPr>
          <w:rFonts w:ascii="Century Gothic" w:hAnsi="Century Gothic" w:cs="Arial"/>
          <w:color w:val="000000"/>
          <w:sz w:val="22"/>
          <w:szCs w:val="22"/>
        </w:rPr>
        <w:t>a enti</w:t>
      </w:r>
      <w:r>
        <w:rPr>
          <w:rFonts w:ascii="Century Gothic" w:hAnsi="Century Gothic" w:cs="Arial"/>
          <w:color w:val="000000"/>
          <w:spacing w:val="1"/>
          <w:sz w:val="22"/>
          <w:szCs w:val="22"/>
        </w:rPr>
        <w:t>d</w:t>
      </w:r>
      <w:r>
        <w:rPr>
          <w:rFonts w:ascii="Century Gothic" w:hAnsi="Century Gothic" w:cs="Arial"/>
          <w:color w:val="000000"/>
          <w:spacing w:val="-1"/>
          <w:sz w:val="22"/>
          <w:szCs w:val="22"/>
        </w:rPr>
        <w:t>a</w:t>
      </w:r>
      <w:r>
        <w:rPr>
          <w:rFonts w:ascii="Century Gothic" w:hAnsi="Century Gothic" w:cs="Arial"/>
          <w:color w:val="000000"/>
          <w:sz w:val="22"/>
          <w:szCs w:val="22"/>
        </w:rPr>
        <w:t>d</w:t>
      </w:r>
      <w:r>
        <w:rPr>
          <w:rFonts w:ascii="Century Gothic" w:hAnsi="Century Gothic" w:cs="Arial"/>
          <w:color w:val="000000"/>
          <w:spacing w:val="1"/>
          <w:sz w:val="22"/>
          <w:szCs w:val="22"/>
        </w:rPr>
        <w:t xml:space="preserve"> </w:t>
      </w:r>
      <w:r>
        <w:rPr>
          <w:rFonts w:ascii="Century Gothic" w:hAnsi="Century Gothic" w:cs="Arial"/>
          <w:color w:val="000000"/>
          <w:sz w:val="22"/>
          <w:szCs w:val="22"/>
        </w:rPr>
        <w:t>c</w:t>
      </w:r>
      <w:r>
        <w:rPr>
          <w:rFonts w:ascii="Century Gothic" w:hAnsi="Century Gothic" w:cs="Arial"/>
          <w:color w:val="000000"/>
          <w:spacing w:val="-1"/>
          <w:sz w:val="22"/>
          <w:szCs w:val="22"/>
        </w:rPr>
        <w:t>o</w:t>
      </w:r>
      <w:r>
        <w:rPr>
          <w:rFonts w:ascii="Century Gothic" w:hAnsi="Century Gothic" w:cs="Arial"/>
          <w:color w:val="000000"/>
          <w:spacing w:val="1"/>
          <w:sz w:val="22"/>
          <w:szCs w:val="22"/>
        </w:rPr>
        <w:t>m</w:t>
      </w:r>
      <w:r>
        <w:rPr>
          <w:rFonts w:ascii="Century Gothic" w:hAnsi="Century Gothic" w:cs="Arial"/>
          <w:color w:val="000000"/>
          <w:sz w:val="22"/>
          <w:szCs w:val="22"/>
        </w:rPr>
        <w:t>o h</w:t>
      </w:r>
      <w:r>
        <w:rPr>
          <w:rFonts w:ascii="Century Gothic" w:hAnsi="Century Gothic" w:cs="Arial"/>
          <w:color w:val="000000"/>
          <w:spacing w:val="1"/>
          <w:sz w:val="22"/>
          <w:szCs w:val="22"/>
        </w:rPr>
        <w:t>e</w:t>
      </w:r>
      <w:r>
        <w:rPr>
          <w:rFonts w:ascii="Century Gothic" w:hAnsi="Century Gothic" w:cs="Arial"/>
          <w:color w:val="000000"/>
          <w:sz w:val="22"/>
          <w:szCs w:val="22"/>
        </w:rPr>
        <w:t>r</w:t>
      </w:r>
      <w:r>
        <w:rPr>
          <w:rFonts w:ascii="Century Gothic" w:hAnsi="Century Gothic" w:cs="Arial"/>
          <w:color w:val="000000"/>
          <w:spacing w:val="-1"/>
          <w:sz w:val="22"/>
          <w:szCs w:val="22"/>
        </w:rPr>
        <w:t>ra</w:t>
      </w:r>
      <w:r>
        <w:rPr>
          <w:rFonts w:ascii="Century Gothic" w:hAnsi="Century Gothic" w:cs="Arial"/>
          <w:color w:val="000000"/>
          <w:spacing w:val="1"/>
          <w:sz w:val="22"/>
          <w:szCs w:val="22"/>
        </w:rPr>
        <w:t>m</w:t>
      </w:r>
      <w:r>
        <w:rPr>
          <w:rFonts w:ascii="Century Gothic" w:hAnsi="Century Gothic" w:cs="Arial"/>
          <w:color w:val="000000"/>
          <w:sz w:val="22"/>
          <w:szCs w:val="22"/>
        </w:rPr>
        <w:t>ienta</w:t>
      </w:r>
      <w:r>
        <w:rPr>
          <w:rFonts w:ascii="Century Gothic" w:hAnsi="Century Gothic" w:cs="Arial"/>
          <w:color w:val="000000"/>
          <w:spacing w:val="1"/>
          <w:sz w:val="22"/>
          <w:szCs w:val="22"/>
        </w:rPr>
        <w:t xml:space="preserve"> </w:t>
      </w:r>
      <w:r>
        <w:rPr>
          <w:rFonts w:ascii="Century Gothic" w:hAnsi="Century Gothic" w:cs="Arial"/>
          <w:color w:val="000000"/>
          <w:spacing w:val="-1"/>
          <w:sz w:val="22"/>
          <w:szCs w:val="22"/>
        </w:rPr>
        <w:t>p</w:t>
      </w:r>
      <w:r>
        <w:rPr>
          <w:rFonts w:ascii="Century Gothic" w:hAnsi="Century Gothic" w:cs="Arial"/>
          <w:color w:val="000000"/>
          <w:sz w:val="22"/>
          <w:szCs w:val="22"/>
        </w:rPr>
        <w:t>ara</w:t>
      </w:r>
      <w:r>
        <w:rPr>
          <w:rFonts w:ascii="Century Gothic" w:hAnsi="Century Gothic" w:cs="Arial"/>
          <w:color w:val="000000"/>
          <w:spacing w:val="1"/>
          <w:sz w:val="22"/>
          <w:szCs w:val="22"/>
        </w:rPr>
        <w:t xml:space="preserve"> e</w:t>
      </w:r>
      <w:r>
        <w:rPr>
          <w:rFonts w:ascii="Century Gothic" w:hAnsi="Century Gothic" w:cs="Arial"/>
          <w:color w:val="000000"/>
          <w:sz w:val="22"/>
          <w:szCs w:val="22"/>
        </w:rPr>
        <w:t>l</w:t>
      </w:r>
      <w:r>
        <w:rPr>
          <w:rFonts w:ascii="Century Gothic" w:hAnsi="Century Gothic" w:cs="Arial"/>
          <w:color w:val="000000"/>
          <w:spacing w:val="-2"/>
          <w:sz w:val="22"/>
          <w:szCs w:val="22"/>
        </w:rPr>
        <w:t xml:space="preserve"> </w:t>
      </w:r>
      <w:r>
        <w:rPr>
          <w:rFonts w:ascii="Century Gothic" w:hAnsi="Century Gothic" w:cs="Arial"/>
          <w:color w:val="000000"/>
          <w:sz w:val="22"/>
          <w:szCs w:val="22"/>
        </w:rPr>
        <w:t>L</w:t>
      </w:r>
      <w:r>
        <w:rPr>
          <w:rFonts w:ascii="Century Gothic" w:hAnsi="Century Gothic" w:cs="Arial"/>
          <w:color w:val="000000"/>
          <w:spacing w:val="1"/>
          <w:sz w:val="22"/>
          <w:szCs w:val="22"/>
        </w:rPr>
        <w:t>A</w:t>
      </w:r>
      <w:r>
        <w:rPr>
          <w:rFonts w:ascii="Century Gothic" w:hAnsi="Century Gothic" w:cs="Arial"/>
          <w:color w:val="000000"/>
          <w:sz w:val="22"/>
          <w:szCs w:val="22"/>
        </w:rPr>
        <w:t>/</w:t>
      </w:r>
      <w:r>
        <w:rPr>
          <w:rFonts w:ascii="Century Gothic" w:hAnsi="Century Gothic" w:cs="Arial"/>
          <w:color w:val="000000"/>
          <w:spacing w:val="-1"/>
          <w:sz w:val="22"/>
          <w:szCs w:val="22"/>
        </w:rPr>
        <w:t>F</w:t>
      </w:r>
      <w:r>
        <w:rPr>
          <w:rFonts w:ascii="Century Gothic" w:hAnsi="Century Gothic" w:cs="Arial"/>
          <w:color w:val="000000"/>
          <w:spacing w:val="1"/>
          <w:sz w:val="22"/>
          <w:szCs w:val="22"/>
        </w:rPr>
        <w:t>T</w:t>
      </w:r>
      <w:r>
        <w:rPr>
          <w:rFonts w:ascii="Century Gothic" w:hAnsi="Century Gothic" w:cs="Arial"/>
          <w:color w:val="000000"/>
          <w:sz w:val="22"/>
          <w:szCs w:val="22"/>
        </w:rPr>
        <w:t>.</w:t>
      </w:r>
    </w:p>
    <w:p w14:paraId="3DCC81D0">
      <w:pPr>
        <w:pStyle w:val="65"/>
        <w:widowControl w:val="0"/>
        <w:numPr>
          <w:ilvl w:val="0"/>
          <w:numId w:val="29"/>
        </w:numPr>
        <w:autoSpaceDE w:val="0"/>
        <w:autoSpaceDN w:val="0"/>
        <w:adjustRightInd w:val="0"/>
        <w:spacing w:line="243" w:lineRule="auto"/>
        <w:ind w:right="50"/>
        <w:rPr>
          <w:rFonts w:ascii="Century Gothic" w:hAnsi="Century Gothic" w:cs="Arial"/>
          <w:sz w:val="22"/>
          <w:szCs w:val="22"/>
        </w:rPr>
      </w:pPr>
      <w:r>
        <w:rPr>
          <w:rFonts w:ascii="Century Gothic" w:hAnsi="Century Gothic" w:cs="Arial"/>
          <w:color w:val="000000"/>
          <w:sz w:val="22"/>
          <w:szCs w:val="22"/>
        </w:rPr>
        <w:t>La Entidad,</w:t>
      </w:r>
      <w:r>
        <w:rPr>
          <w:rFonts w:ascii="Century Gothic" w:hAnsi="Century Gothic" w:cs="Arial"/>
          <w:color w:val="000000"/>
          <w:spacing w:val="118"/>
          <w:sz w:val="22"/>
          <w:szCs w:val="22"/>
        </w:rPr>
        <w:t xml:space="preserve"> </w:t>
      </w:r>
      <w:r>
        <w:rPr>
          <w:rFonts w:ascii="Century Gothic" w:hAnsi="Century Gothic" w:cs="Arial"/>
          <w:color w:val="000000"/>
          <w:sz w:val="22"/>
          <w:szCs w:val="22"/>
        </w:rPr>
        <w:t xml:space="preserve">finalizará la relación comercial con </w:t>
      </w:r>
      <w:r>
        <w:rPr>
          <w:rFonts w:ascii="Century Gothic" w:hAnsi="Century Gothic" w:cs="Arial"/>
          <w:color w:val="000000"/>
          <w:spacing w:val="27"/>
          <w:sz w:val="22"/>
          <w:szCs w:val="22"/>
        </w:rPr>
        <w:t xml:space="preserve"> </w:t>
      </w:r>
      <w:r>
        <w:rPr>
          <w:rFonts w:ascii="Century Gothic" w:hAnsi="Century Gothic" w:cs="Arial"/>
          <w:color w:val="000000"/>
          <w:sz w:val="22"/>
          <w:szCs w:val="22"/>
        </w:rPr>
        <w:t>t</w:t>
      </w:r>
      <w:r>
        <w:rPr>
          <w:rFonts w:ascii="Century Gothic" w:hAnsi="Century Gothic" w:cs="Arial"/>
          <w:color w:val="000000"/>
          <w:spacing w:val="1"/>
          <w:sz w:val="22"/>
          <w:szCs w:val="22"/>
        </w:rPr>
        <w:t>o</w:t>
      </w:r>
      <w:r>
        <w:rPr>
          <w:rFonts w:ascii="Century Gothic" w:hAnsi="Century Gothic" w:cs="Arial"/>
          <w:color w:val="000000"/>
          <w:sz w:val="22"/>
          <w:szCs w:val="22"/>
        </w:rPr>
        <w:t>do</w:t>
      </w:r>
      <w:r>
        <w:rPr>
          <w:rFonts w:ascii="Century Gothic" w:hAnsi="Century Gothic" w:cs="Arial"/>
          <w:color w:val="000000"/>
          <w:spacing w:val="24"/>
          <w:sz w:val="22"/>
          <w:szCs w:val="22"/>
        </w:rPr>
        <w:t xml:space="preserve"> </w:t>
      </w:r>
      <w:r>
        <w:rPr>
          <w:rFonts w:ascii="Century Gothic" w:hAnsi="Century Gothic" w:cs="Arial"/>
          <w:color w:val="000000"/>
          <w:spacing w:val="1"/>
          <w:sz w:val="22"/>
          <w:szCs w:val="22"/>
        </w:rPr>
        <w:t>fun</w:t>
      </w:r>
      <w:r>
        <w:rPr>
          <w:rFonts w:ascii="Century Gothic" w:hAnsi="Century Gothic" w:cs="Arial"/>
          <w:color w:val="000000"/>
          <w:sz w:val="22"/>
          <w:szCs w:val="22"/>
        </w:rPr>
        <w:t>ci</w:t>
      </w:r>
      <w:r>
        <w:rPr>
          <w:rFonts w:ascii="Century Gothic" w:hAnsi="Century Gothic" w:cs="Arial"/>
          <w:color w:val="000000"/>
          <w:spacing w:val="-1"/>
          <w:sz w:val="22"/>
          <w:szCs w:val="22"/>
        </w:rPr>
        <w:t>o</w:t>
      </w:r>
      <w:r>
        <w:rPr>
          <w:rFonts w:ascii="Century Gothic" w:hAnsi="Century Gothic" w:cs="Arial"/>
          <w:color w:val="000000"/>
          <w:sz w:val="22"/>
          <w:szCs w:val="22"/>
        </w:rPr>
        <w:t>n</w:t>
      </w:r>
      <w:r>
        <w:rPr>
          <w:rFonts w:ascii="Century Gothic" w:hAnsi="Century Gothic" w:cs="Arial"/>
          <w:color w:val="000000"/>
          <w:spacing w:val="1"/>
          <w:sz w:val="22"/>
          <w:szCs w:val="22"/>
        </w:rPr>
        <w:t>a</w:t>
      </w:r>
      <w:r>
        <w:rPr>
          <w:rFonts w:ascii="Century Gothic" w:hAnsi="Century Gothic" w:cs="Arial"/>
          <w:color w:val="000000"/>
          <w:sz w:val="22"/>
          <w:szCs w:val="22"/>
        </w:rPr>
        <w:t>r</w:t>
      </w:r>
      <w:r>
        <w:rPr>
          <w:rFonts w:ascii="Century Gothic" w:hAnsi="Century Gothic" w:cs="Arial"/>
          <w:color w:val="000000"/>
          <w:spacing w:val="-1"/>
          <w:sz w:val="22"/>
          <w:szCs w:val="22"/>
        </w:rPr>
        <w:t>i</w:t>
      </w:r>
      <w:r>
        <w:rPr>
          <w:rFonts w:ascii="Century Gothic" w:hAnsi="Century Gothic" w:cs="Arial"/>
          <w:color w:val="000000"/>
          <w:sz w:val="22"/>
          <w:szCs w:val="22"/>
        </w:rPr>
        <w:t>o, proveedor o autorizado</w:t>
      </w:r>
      <w:r>
        <w:rPr>
          <w:rFonts w:ascii="Century Gothic" w:hAnsi="Century Gothic" w:cs="Arial"/>
          <w:color w:val="000000"/>
          <w:spacing w:val="27"/>
          <w:sz w:val="22"/>
          <w:szCs w:val="22"/>
        </w:rPr>
        <w:t xml:space="preserve"> </w:t>
      </w:r>
      <w:r>
        <w:rPr>
          <w:rFonts w:ascii="Century Gothic" w:hAnsi="Century Gothic" w:cs="Arial"/>
          <w:color w:val="000000"/>
          <w:sz w:val="22"/>
          <w:szCs w:val="22"/>
        </w:rPr>
        <w:t>que</w:t>
      </w:r>
      <w:r>
        <w:rPr>
          <w:rFonts w:ascii="Century Gothic" w:hAnsi="Century Gothic" w:cs="Arial"/>
          <w:color w:val="000000"/>
          <w:spacing w:val="25"/>
          <w:sz w:val="22"/>
          <w:szCs w:val="22"/>
        </w:rPr>
        <w:t xml:space="preserve"> </w:t>
      </w:r>
      <w:r>
        <w:rPr>
          <w:rFonts w:ascii="Century Gothic" w:hAnsi="Century Gothic" w:cs="Arial"/>
          <w:color w:val="000000"/>
          <w:sz w:val="22"/>
          <w:szCs w:val="22"/>
        </w:rPr>
        <w:t>se encuentre</w:t>
      </w:r>
      <w:r>
        <w:rPr>
          <w:rFonts w:ascii="Century Gothic" w:hAnsi="Century Gothic" w:cs="Arial"/>
          <w:color w:val="000000"/>
          <w:spacing w:val="118"/>
          <w:sz w:val="22"/>
          <w:szCs w:val="22"/>
        </w:rPr>
        <w:t xml:space="preserve"> </w:t>
      </w:r>
      <w:r>
        <w:rPr>
          <w:rFonts w:ascii="Century Gothic" w:hAnsi="Century Gothic" w:cs="Arial"/>
          <w:color w:val="000000"/>
          <w:sz w:val="22"/>
          <w:szCs w:val="22"/>
        </w:rPr>
        <w:t>reporta</w:t>
      </w:r>
      <w:r>
        <w:rPr>
          <w:rFonts w:ascii="Century Gothic" w:hAnsi="Century Gothic" w:cs="Arial"/>
          <w:color w:val="000000"/>
          <w:spacing w:val="1"/>
          <w:sz w:val="22"/>
          <w:szCs w:val="22"/>
        </w:rPr>
        <w:t>d</w:t>
      </w:r>
      <w:r>
        <w:rPr>
          <w:rFonts w:ascii="Century Gothic" w:hAnsi="Century Gothic" w:cs="Arial"/>
          <w:color w:val="000000"/>
          <w:sz w:val="22"/>
          <w:szCs w:val="22"/>
        </w:rPr>
        <w:t>o</w:t>
      </w:r>
      <w:r>
        <w:rPr>
          <w:rFonts w:ascii="Century Gothic" w:hAnsi="Century Gothic" w:cs="Arial"/>
          <w:color w:val="000000"/>
          <w:spacing w:val="26"/>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z w:val="22"/>
          <w:szCs w:val="22"/>
        </w:rPr>
        <w:t>n</w:t>
      </w:r>
      <w:r>
        <w:rPr>
          <w:rFonts w:ascii="Century Gothic" w:hAnsi="Century Gothic" w:cs="Arial"/>
          <w:sz w:val="22"/>
          <w:szCs w:val="22"/>
        </w:rPr>
        <w:t xml:space="preserve"> </w:t>
      </w:r>
      <w:r>
        <w:rPr>
          <w:rFonts w:ascii="Century Gothic" w:hAnsi="Century Gothic" w:cs="Arial"/>
          <w:color w:val="000000"/>
          <w:sz w:val="22"/>
          <w:szCs w:val="22"/>
        </w:rPr>
        <w:t>l</w:t>
      </w:r>
      <w:r>
        <w:rPr>
          <w:rFonts w:ascii="Century Gothic" w:hAnsi="Century Gothic" w:cs="Arial"/>
          <w:color w:val="000000"/>
          <w:spacing w:val="-1"/>
          <w:sz w:val="22"/>
          <w:szCs w:val="22"/>
        </w:rPr>
        <w:t>i</w:t>
      </w:r>
      <w:r>
        <w:rPr>
          <w:rFonts w:ascii="Century Gothic" w:hAnsi="Century Gothic" w:cs="Arial"/>
          <w:color w:val="000000"/>
          <w:sz w:val="22"/>
          <w:szCs w:val="22"/>
        </w:rPr>
        <w:t>st</w:t>
      </w:r>
      <w:r>
        <w:rPr>
          <w:rFonts w:ascii="Century Gothic" w:hAnsi="Century Gothic" w:cs="Arial"/>
          <w:color w:val="000000"/>
          <w:spacing w:val="1"/>
          <w:sz w:val="22"/>
          <w:szCs w:val="22"/>
        </w:rPr>
        <w:t>a</w:t>
      </w:r>
      <w:r>
        <w:rPr>
          <w:rFonts w:ascii="Century Gothic" w:hAnsi="Century Gothic" w:cs="Arial"/>
          <w:color w:val="000000"/>
          <w:sz w:val="22"/>
          <w:szCs w:val="22"/>
        </w:rPr>
        <w:t>s</w:t>
      </w:r>
      <w:r>
        <w:rPr>
          <w:rFonts w:ascii="Century Gothic" w:hAnsi="Century Gothic" w:cs="Arial"/>
          <w:color w:val="000000"/>
          <w:spacing w:val="8"/>
          <w:sz w:val="22"/>
          <w:szCs w:val="22"/>
        </w:rPr>
        <w:t xml:space="preserve"> </w:t>
      </w:r>
      <w:r>
        <w:rPr>
          <w:rFonts w:ascii="Century Gothic" w:hAnsi="Century Gothic" w:cs="Arial"/>
          <w:color w:val="000000"/>
          <w:sz w:val="22"/>
          <w:szCs w:val="22"/>
        </w:rPr>
        <w:t>restricti</w:t>
      </w:r>
      <w:r>
        <w:rPr>
          <w:rFonts w:ascii="Century Gothic" w:hAnsi="Century Gothic" w:cs="Arial"/>
          <w:color w:val="000000"/>
          <w:spacing w:val="-2"/>
          <w:sz w:val="22"/>
          <w:szCs w:val="22"/>
        </w:rPr>
        <w:t>v</w:t>
      </w:r>
      <w:r>
        <w:rPr>
          <w:rFonts w:ascii="Century Gothic" w:hAnsi="Century Gothic" w:cs="Arial"/>
          <w:color w:val="000000"/>
          <w:sz w:val="22"/>
          <w:szCs w:val="22"/>
        </w:rPr>
        <w:t>as</w:t>
      </w:r>
      <w:r>
        <w:rPr>
          <w:rFonts w:ascii="Century Gothic" w:hAnsi="Century Gothic" w:cs="Arial"/>
          <w:color w:val="000000"/>
          <w:spacing w:val="84"/>
          <w:sz w:val="22"/>
          <w:szCs w:val="22"/>
        </w:rPr>
        <w:t xml:space="preserve"> </w:t>
      </w:r>
      <w:r>
        <w:rPr>
          <w:rFonts w:ascii="Century Gothic" w:hAnsi="Century Gothic" w:cs="Arial"/>
          <w:color w:val="000000"/>
          <w:sz w:val="22"/>
          <w:szCs w:val="22"/>
        </w:rPr>
        <w:t>o</w:t>
      </w:r>
      <w:r>
        <w:rPr>
          <w:rFonts w:ascii="Century Gothic" w:hAnsi="Century Gothic" w:cs="Arial"/>
          <w:color w:val="000000"/>
          <w:spacing w:val="9"/>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z w:val="22"/>
          <w:szCs w:val="22"/>
        </w:rPr>
        <w:t>n</w:t>
      </w:r>
      <w:r>
        <w:rPr>
          <w:rFonts w:ascii="Century Gothic" w:hAnsi="Century Gothic" w:cs="Arial"/>
          <w:color w:val="000000"/>
          <w:spacing w:val="8"/>
          <w:sz w:val="22"/>
          <w:szCs w:val="22"/>
        </w:rPr>
        <w:t xml:space="preserve"> </w:t>
      </w:r>
      <w:r>
        <w:rPr>
          <w:rFonts w:ascii="Century Gothic" w:hAnsi="Century Gothic" w:cs="Arial"/>
          <w:color w:val="000000"/>
          <w:spacing w:val="1"/>
          <w:sz w:val="22"/>
          <w:szCs w:val="22"/>
        </w:rPr>
        <w:t>p</w:t>
      </w:r>
      <w:r>
        <w:rPr>
          <w:rFonts w:ascii="Century Gothic" w:hAnsi="Century Gothic" w:cs="Arial"/>
          <w:color w:val="000000"/>
          <w:sz w:val="22"/>
          <w:szCs w:val="22"/>
        </w:rPr>
        <w:t>roc</w:t>
      </w:r>
      <w:r>
        <w:rPr>
          <w:rFonts w:ascii="Century Gothic" w:hAnsi="Century Gothic" w:cs="Arial"/>
          <w:color w:val="000000"/>
          <w:spacing w:val="1"/>
          <w:sz w:val="22"/>
          <w:szCs w:val="22"/>
        </w:rPr>
        <w:t>e</w:t>
      </w:r>
      <w:r>
        <w:rPr>
          <w:rFonts w:ascii="Century Gothic" w:hAnsi="Century Gothic" w:cs="Arial"/>
          <w:color w:val="000000"/>
          <w:sz w:val="22"/>
          <w:szCs w:val="22"/>
        </w:rPr>
        <w:t>s</w:t>
      </w:r>
      <w:r>
        <w:rPr>
          <w:rFonts w:ascii="Century Gothic" w:hAnsi="Century Gothic" w:cs="Arial"/>
          <w:color w:val="000000"/>
          <w:spacing w:val="1"/>
          <w:sz w:val="22"/>
          <w:szCs w:val="22"/>
        </w:rPr>
        <w:t>o</w:t>
      </w:r>
      <w:r>
        <w:rPr>
          <w:rFonts w:ascii="Century Gothic" w:hAnsi="Century Gothic" w:cs="Arial"/>
          <w:color w:val="000000"/>
          <w:sz w:val="22"/>
          <w:szCs w:val="22"/>
        </w:rPr>
        <w:t>s</w:t>
      </w:r>
      <w:r>
        <w:rPr>
          <w:rFonts w:ascii="Century Gothic" w:hAnsi="Century Gothic" w:cs="Arial"/>
          <w:color w:val="000000"/>
          <w:spacing w:val="8"/>
          <w:sz w:val="22"/>
          <w:szCs w:val="22"/>
        </w:rPr>
        <w:t xml:space="preserve"> </w:t>
      </w:r>
      <w:r>
        <w:rPr>
          <w:rFonts w:ascii="Century Gothic" w:hAnsi="Century Gothic" w:cs="Arial"/>
          <w:color w:val="000000"/>
          <w:sz w:val="22"/>
          <w:szCs w:val="22"/>
        </w:rPr>
        <w:t>ju</w:t>
      </w:r>
      <w:r>
        <w:rPr>
          <w:rFonts w:ascii="Century Gothic" w:hAnsi="Century Gothic" w:cs="Arial"/>
          <w:color w:val="000000"/>
          <w:spacing w:val="1"/>
          <w:sz w:val="22"/>
          <w:szCs w:val="22"/>
        </w:rPr>
        <w:t>d</w:t>
      </w:r>
      <w:r>
        <w:rPr>
          <w:rFonts w:ascii="Century Gothic" w:hAnsi="Century Gothic" w:cs="Arial"/>
          <w:color w:val="000000"/>
          <w:sz w:val="22"/>
          <w:szCs w:val="22"/>
        </w:rPr>
        <w:t>icial</w:t>
      </w:r>
      <w:r>
        <w:rPr>
          <w:rFonts w:ascii="Century Gothic" w:hAnsi="Century Gothic" w:cs="Arial"/>
          <w:color w:val="000000"/>
          <w:spacing w:val="1"/>
          <w:sz w:val="22"/>
          <w:szCs w:val="22"/>
        </w:rPr>
        <w:t>e</w:t>
      </w:r>
      <w:r>
        <w:rPr>
          <w:rFonts w:ascii="Century Gothic" w:hAnsi="Century Gothic" w:cs="Arial"/>
          <w:color w:val="000000"/>
          <w:sz w:val="22"/>
          <w:szCs w:val="22"/>
        </w:rPr>
        <w:t>s</w:t>
      </w:r>
      <w:r>
        <w:rPr>
          <w:rFonts w:ascii="Century Gothic" w:hAnsi="Century Gothic" w:cs="Arial"/>
          <w:color w:val="000000"/>
          <w:spacing w:val="7"/>
          <w:sz w:val="22"/>
          <w:szCs w:val="22"/>
        </w:rPr>
        <w:t xml:space="preserve"> </w:t>
      </w:r>
      <w:r>
        <w:rPr>
          <w:rFonts w:ascii="Century Gothic" w:hAnsi="Century Gothic" w:cs="Arial"/>
          <w:color w:val="000000"/>
          <w:sz w:val="22"/>
          <w:szCs w:val="22"/>
        </w:rPr>
        <w:t>p</w:t>
      </w:r>
      <w:r>
        <w:rPr>
          <w:rFonts w:ascii="Century Gothic" w:hAnsi="Century Gothic" w:cs="Arial"/>
          <w:color w:val="000000"/>
          <w:spacing w:val="-2"/>
          <w:sz w:val="22"/>
          <w:szCs w:val="22"/>
        </w:rPr>
        <w:t>o</w:t>
      </w:r>
      <w:r>
        <w:rPr>
          <w:rFonts w:ascii="Century Gothic" w:hAnsi="Century Gothic" w:cs="Arial"/>
          <w:color w:val="000000"/>
          <w:sz w:val="22"/>
          <w:szCs w:val="22"/>
        </w:rPr>
        <w:t>r</w:t>
      </w:r>
      <w:r>
        <w:rPr>
          <w:rFonts w:ascii="Century Gothic" w:hAnsi="Century Gothic" w:cs="Arial"/>
          <w:color w:val="000000"/>
          <w:spacing w:val="6"/>
          <w:sz w:val="22"/>
          <w:szCs w:val="22"/>
        </w:rPr>
        <w:t xml:space="preserve"> </w:t>
      </w:r>
      <w:r>
        <w:rPr>
          <w:rFonts w:ascii="Century Gothic" w:hAnsi="Century Gothic" w:cs="Arial"/>
          <w:color w:val="000000"/>
          <w:spacing w:val="1"/>
          <w:sz w:val="22"/>
          <w:szCs w:val="22"/>
        </w:rPr>
        <w:t>a</w:t>
      </w:r>
      <w:r>
        <w:rPr>
          <w:rFonts w:ascii="Century Gothic" w:hAnsi="Century Gothic" w:cs="Arial"/>
          <w:color w:val="000000"/>
          <w:sz w:val="22"/>
          <w:szCs w:val="22"/>
        </w:rPr>
        <w:t>c</w:t>
      </w:r>
      <w:r>
        <w:rPr>
          <w:rFonts w:ascii="Century Gothic" w:hAnsi="Century Gothic" w:cs="Arial"/>
          <w:color w:val="000000"/>
          <w:spacing w:val="1"/>
          <w:sz w:val="22"/>
          <w:szCs w:val="22"/>
        </w:rPr>
        <w:t>t</w:t>
      </w:r>
      <w:r>
        <w:rPr>
          <w:rFonts w:ascii="Century Gothic" w:hAnsi="Century Gothic" w:cs="Arial"/>
          <w:color w:val="000000"/>
          <w:sz w:val="22"/>
          <w:szCs w:val="22"/>
        </w:rPr>
        <w:t>i</w:t>
      </w:r>
      <w:r>
        <w:rPr>
          <w:rFonts w:ascii="Century Gothic" w:hAnsi="Century Gothic" w:cs="Arial"/>
          <w:color w:val="000000"/>
          <w:spacing w:val="-2"/>
          <w:sz w:val="22"/>
          <w:szCs w:val="22"/>
        </w:rPr>
        <w:t>v</w:t>
      </w:r>
      <w:r>
        <w:rPr>
          <w:rFonts w:ascii="Century Gothic" w:hAnsi="Century Gothic" w:cs="Arial"/>
          <w:color w:val="000000"/>
          <w:spacing w:val="-1"/>
          <w:sz w:val="22"/>
          <w:szCs w:val="22"/>
        </w:rPr>
        <w:t>i</w:t>
      </w:r>
      <w:r>
        <w:rPr>
          <w:rFonts w:ascii="Century Gothic" w:hAnsi="Century Gothic" w:cs="Arial"/>
          <w:color w:val="000000"/>
          <w:sz w:val="22"/>
          <w:szCs w:val="22"/>
        </w:rPr>
        <w:t>d</w:t>
      </w:r>
      <w:r>
        <w:rPr>
          <w:rFonts w:ascii="Century Gothic" w:hAnsi="Century Gothic" w:cs="Arial"/>
          <w:color w:val="000000"/>
          <w:spacing w:val="1"/>
          <w:sz w:val="22"/>
          <w:szCs w:val="22"/>
        </w:rPr>
        <w:t>ade</w:t>
      </w:r>
      <w:r>
        <w:rPr>
          <w:rFonts w:ascii="Century Gothic" w:hAnsi="Century Gothic" w:cs="Arial"/>
          <w:color w:val="000000"/>
          <w:sz w:val="22"/>
          <w:szCs w:val="22"/>
        </w:rPr>
        <w:t>s</w:t>
      </w:r>
      <w:r>
        <w:rPr>
          <w:rFonts w:ascii="Century Gothic" w:hAnsi="Century Gothic" w:cs="Arial"/>
          <w:color w:val="000000"/>
          <w:spacing w:val="8"/>
          <w:sz w:val="22"/>
          <w:szCs w:val="22"/>
        </w:rPr>
        <w:t xml:space="preserve"> </w:t>
      </w:r>
      <w:r>
        <w:rPr>
          <w:rFonts w:ascii="Century Gothic" w:hAnsi="Century Gothic" w:cs="Arial"/>
          <w:color w:val="000000"/>
          <w:spacing w:val="1"/>
          <w:sz w:val="22"/>
          <w:szCs w:val="22"/>
        </w:rPr>
        <w:t>de</w:t>
      </w:r>
      <w:r>
        <w:rPr>
          <w:rFonts w:ascii="Century Gothic" w:hAnsi="Century Gothic" w:cs="Arial"/>
          <w:color w:val="000000"/>
          <w:sz w:val="22"/>
          <w:szCs w:val="22"/>
        </w:rPr>
        <w:t>licti</w:t>
      </w:r>
      <w:r>
        <w:rPr>
          <w:rFonts w:ascii="Century Gothic" w:hAnsi="Century Gothic" w:cs="Arial"/>
          <w:color w:val="000000"/>
          <w:spacing w:val="-3"/>
          <w:sz w:val="22"/>
          <w:szCs w:val="22"/>
        </w:rPr>
        <w:t>v</w:t>
      </w:r>
      <w:r>
        <w:rPr>
          <w:rFonts w:ascii="Century Gothic" w:hAnsi="Century Gothic" w:cs="Arial"/>
          <w:color w:val="000000"/>
          <w:sz w:val="22"/>
          <w:szCs w:val="22"/>
        </w:rPr>
        <w:t>as</w:t>
      </w:r>
      <w:r>
        <w:rPr>
          <w:rFonts w:ascii="Century Gothic" w:hAnsi="Century Gothic" w:cs="Arial"/>
          <w:color w:val="000000"/>
          <w:spacing w:val="8"/>
          <w:sz w:val="22"/>
          <w:szCs w:val="22"/>
        </w:rPr>
        <w:t xml:space="preserve"> </w:t>
      </w:r>
      <w:r>
        <w:rPr>
          <w:rFonts w:ascii="Century Gothic" w:hAnsi="Century Gothic" w:cs="Arial"/>
          <w:color w:val="000000"/>
          <w:sz w:val="22"/>
          <w:szCs w:val="22"/>
        </w:rPr>
        <w:t>c</w:t>
      </w:r>
      <w:r>
        <w:rPr>
          <w:rFonts w:ascii="Century Gothic" w:hAnsi="Century Gothic" w:cs="Arial"/>
          <w:color w:val="000000"/>
          <w:spacing w:val="1"/>
          <w:sz w:val="22"/>
          <w:szCs w:val="22"/>
        </w:rPr>
        <w:t>one</w:t>
      </w:r>
      <w:r>
        <w:rPr>
          <w:rFonts w:ascii="Century Gothic" w:hAnsi="Century Gothic" w:cs="Arial"/>
          <w:color w:val="000000"/>
          <w:spacing w:val="-2"/>
          <w:sz w:val="22"/>
          <w:szCs w:val="22"/>
        </w:rPr>
        <w:t>x</w:t>
      </w:r>
      <w:r>
        <w:rPr>
          <w:rFonts w:ascii="Century Gothic" w:hAnsi="Century Gothic" w:cs="Arial"/>
          <w:color w:val="000000"/>
          <w:sz w:val="22"/>
          <w:szCs w:val="22"/>
        </w:rPr>
        <w:t>as</w:t>
      </w:r>
      <w:r>
        <w:rPr>
          <w:rFonts w:ascii="Century Gothic" w:hAnsi="Century Gothic" w:cs="Arial"/>
          <w:color w:val="000000"/>
          <w:spacing w:val="8"/>
          <w:sz w:val="22"/>
          <w:szCs w:val="22"/>
        </w:rPr>
        <w:t xml:space="preserve"> </w:t>
      </w:r>
      <w:r>
        <w:rPr>
          <w:rFonts w:ascii="Century Gothic" w:hAnsi="Century Gothic" w:cs="Arial"/>
          <w:color w:val="000000"/>
          <w:sz w:val="22"/>
          <w:szCs w:val="22"/>
        </w:rPr>
        <w:t>c</w:t>
      </w:r>
      <w:r>
        <w:rPr>
          <w:rFonts w:ascii="Century Gothic" w:hAnsi="Century Gothic" w:cs="Arial"/>
          <w:color w:val="000000"/>
          <w:spacing w:val="1"/>
          <w:sz w:val="22"/>
          <w:szCs w:val="22"/>
        </w:rPr>
        <w:t>o</w:t>
      </w:r>
      <w:r>
        <w:rPr>
          <w:rFonts w:ascii="Century Gothic" w:hAnsi="Century Gothic" w:cs="Arial"/>
          <w:color w:val="000000"/>
          <w:sz w:val="22"/>
          <w:szCs w:val="22"/>
        </w:rPr>
        <w:t>n</w:t>
      </w:r>
      <w:r>
        <w:rPr>
          <w:rFonts w:ascii="Century Gothic" w:hAnsi="Century Gothic" w:cs="Arial"/>
          <w:sz w:val="22"/>
          <w:szCs w:val="22"/>
        </w:rPr>
        <w:t xml:space="preserve"> </w:t>
      </w:r>
      <w:r>
        <w:rPr>
          <w:rFonts w:ascii="Century Gothic" w:hAnsi="Century Gothic" w:cs="Arial"/>
          <w:color w:val="000000"/>
          <w:sz w:val="22"/>
          <w:szCs w:val="22"/>
        </w:rPr>
        <w:t xml:space="preserve">el </w:t>
      </w:r>
      <w:r>
        <w:rPr>
          <w:rFonts w:ascii="Century Gothic" w:hAnsi="Century Gothic" w:cs="Arial"/>
          <w:color w:val="000000"/>
          <w:spacing w:val="1"/>
          <w:sz w:val="22"/>
          <w:szCs w:val="22"/>
        </w:rPr>
        <w:t>LA/</w:t>
      </w:r>
      <w:r>
        <w:rPr>
          <w:rFonts w:ascii="Century Gothic" w:hAnsi="Century Gothic" w:cs="Arial"/>
          <w:color w:val="000000"/>
          <w:spacing w:val="-2"/>
          <w:sz w:val="22"/>
          <w:szCs w:val="22"/>
        </w:rPr>
        <w:t>F</w:t>
      </w:r>
      <w:r>
        <w:rPr>
          <w:rFonts w:ascii="Century Gothic" w:hAnsi="Century Gothic" w:cs="Arial"/>
          <w:color w:val="000000"/>
          <w:spacing w:val="1"/>
          <w:sz w:val="22"/>
          <w:szCs w:val="22"/>
        </w:rPr>
        <w:t>T</w:t>
      </w:r>
      <w:r>
        <w:rPr>
          <w:rFonts w:ascii="Century Gothic" w:hAnsi="Century Gothic" w:cs="Arial"/>
          <w:color w:val="000000"/>
          <w:sz w:val="22"/>
          <w:szCs w:val="22"/>
        </w:rPr>
        <w:t xml:space="preserve"> y cuando se trate de asociados o Relacionados Contractuales, en cuanto a asociados y directivos procederá según lo establecido en el estatuto de la entidad.</w:t>
      </w:r>
    </w:p>
    <w:p w14:paraId="2F218247">
      <w:pPr>
        <w:pStyle w:val="65"/>
        <w:numPr>
          <w:ilvl w:val="0"/>
          <w:numId w:val="29"/>
        </w:numPr>
        <w:spacing w:after="160" w:line="259" w:lineRule="auto"/>
        <w:rPr>
          <w:rFonts w:ascii="Century Gothic" w:hAnsi="Century Gothic" w:cs="Arial"/>
          <w:sz w:val="22"/>
          <w:szCs w:val="22"/>
        </w:rPr>
      </w:pPr>
      <w:r>
        <w:rPr>
          <w:rFonts w:ascii="Century Gothic" w:hAnsi="Century Gothic" w:cs="Arial"/>
          <w:sz w:val="22"/>
          <w:szCs w:val="22"/>
        </w:rPr>
        <w:t xml:space="preserve">La Entidad adelantará el proceso de SARLAFT (diligenciamiento del </w:t>
      </w:r>
      <w:r>
        <w:rPr>
          <w:rFonts w:ascii="Century Gothic" w:hAnsi="Century Gothic" w:cs="ITC Franklin Gothic Std Book" w:eastAsiaTheme="minorHAnsi"/>
          <w:color w:val="000000"/>
          <w:sz w:val="22"/>
          <w:szCs w:val="22"/>
          <w:lang w:eastAsia="en-US"/>
        </w:rPr>
        <w:t xml:space="preserve">formulario para la vinculación y/actualización de información, debida diligencia y exigencias de documentos, entre otros) de los relacionados contractuales: proveedores y contratistas; únicamente cuando el bien o servicio que se contrate con dichos relacionados contractuales, en el </w:t>
      </w:r>
      <w:r>
        <w:rPr>
          <w:rFonts w:ascii="Century Gothic" w:hAnsi="Century Gothic" w:cs="Arial"/>
          <w:sz w:val="22"/>
          <w:szCs w:val="22"/>
        </w:rPr>
        <w:t xml:space="preserve"> año supere los cuatro (04) SMLMV.</w:t>
      </w:r>
    </w:p>
    <w:p w14:paraId="378E3DB5">
      <w:pPr>
        <w:pStyle w:val="65"/>
        <w:numPr>
          <w:ilvl w:val="0"/>
          <w:numId w:val="29"/>
        </w:numPr>
        <w:spacing w:after="160" w:line="259" w:lineRule="auto"/>
        <w:rPr>
          <w:rFonts w:ascii="Century Gothic" w:hAnsi="Century Gothic" w:cs="Arial"/>
          <w:sz w:val="22"/>
          <w:szCs w:val="22"/>
        </w:rPr>
      </w:pPr>
      <w:r>
        <w:rPr>
          <w:rFonts w:ascii="Century Gothic" w:hAnsi="Century Gothic" w:cs="Arial"/>
          <w:sz w:val="22"/>
          <w:szCs w:val="22"/>
        </w:rPr>
        <w:t>Todas la políticas del Sistema de Administración del Riesgo de LA/FT y sus lineamientos, serán aprobados por el Consejo de Administración de la Entidad.</w:t>
      </w:r>
    </w:p>
    <w:p w14:paraId="71C930ED">
      <w:pPr>
        <w:pStyle w:val="65"/>
        <w:spacing w:after="160"/>
        <w:ind w:left="502"/>
        <w:contextualSpacing/>
        <w:rPr>
          <w:rFonts w:ascii="Century Gothic" w:hAnsi="Century Gothic" w:cs="Arial"/>
          <w:sz w:val="22"/>
          <w:szCs w:val="22"/>
        </w:rPr>
      </w:pPr>
    </w:p>
    <w:p w14:paraId="44714134">
      <w:pPr>
        <w:pStyle w:val="65"/>
        <w:numPr>
          <w:ilvl w:val="3"/>
          <w:numId w:val="8"/>
        </w:numPr>
        <w:autoSpaceDE w:val="0"/>
        <w:autoSpaceDN w:val="0"/>
        <w:adjustRightInd w:val="0"/>
        <w:spacing w:before="220" w:after="100"/>
        <w:contextualSpacing/>
        <w:rPr>
          <w:rFonts w:ascii="Century Gothic" w:hAnsi="Century Gothic" w:cs="ITC Franklin Gothic Std Book" w:eastAsiaTheme="minorHAnsi"/>
          <w:b/>
          <w:bCs/>
          <w:color w:val="000000"/>
          <w:sz w:val="22"/>
          <w:szCs w:val="22"/>
          <w:lang w:eastAsia="en-US"/>
        </w:rPr>
      </w:pPr>
      <w:r>
        <w:rPr>
          <w:rFonts w:ascii="Century Gothic" w:hAnsi="Century Gothic" w:cs="ITC Franklin Gothic Std Book" w:eastAsiaTheme="minorHAnsi"/>
          <w:b/>
          <w:bCs/>
          <w:color w:val="000000"/>
          <w:sz w:val="22"/>
          <w:szCs w:val="22"/>
          <w:lang w:eastAsia="en-US"/>
        </w:rPr>
        <w:t>POLÍTICAS ESPECÍFICAS</w:t>
      </w:r>
    </w:p>
    <w:p w14:paraId="19409B15">
      <w:pPr>
        <w:pStyle w:val="86"/>
        <w:contextualSpacing/>
        <w:jc w:val="both"/>
        <w:rPr>
          <w:rFonts w:ascii="Century Gothic" w:hAnsi="Century Gothic"/>
          <w:b/>
          <w:bCs/>
          <w:sz w:val="22"/>
          <w:szCs w:val="22"/>
        </w:rPr>
      </w:pPr>
    </w:p>
    <w:p w14:paraId="76F4B12C">
      <w:pPr>
        <w:rPr>
          <w:rFonts w:ascii="Century Gothic" w:hAnsi="Century Gothic"/>
          <w:b/>
          <w:sz w:val="22"/>
          <w:szCs w:val="22"/>
        </w:rPr>
      </w:pPr>
      <w:r>
        <w:rPr>
          <w:rFonts w:ascii="Century Gothic" w:hAnsi="Century Gothic"/>
          <w:b/>
          <w:sz w:val="22"/>
          <w:szCs w:val="22"/>
        </w:rPr>
        <w:t xml:space="preserve">Política de Verificación y Actualización de la Información </w:t>
      </w:r>
    </w:p>
    <w:p w14:paraId="243DE9E9">
      <w:pPr>
        <w:pStyle w:val="86"/>
        <w:jc w:val="both"/>
        <w:rPr>
          <w:rFonts w:ascii="Century Gothic" w:hAnsi="Century Gothic"/>
          <w:sz w:val="22"/>
          <w:szCs w:val="22"/>
        </w:rPr>
      </w:pPr>
    </w:p>
    <w:p w14:paraId="76434C1C">
      <w:pPr>
        <w:autoSpaceDE w:val="0"/>
        <w:autoSpaceDN w:val="0"/>
        <w:adjustRightInd w:val="0"/>
        <w:contextualSpacing/>
        <w:rPr>
          <w:rFonts w:ascii="Century Gothic" w:hAnsi="Century Gothic" w:cs="Helvetica" w:eastAsiaTheme="minorHAnsi"/>
          <w:b/>
          <w:sz w:val="22"/>
          <w:szCs w:val="22"/>
          <w:lang w:eastAsia="en-US"/>
        </w:rPr>
      </w:pPr>
      <w:r>
        <w:rPr>
          <w:rFonts w:ascii="Century Gothic" w:hAnsi="Century Gothic"/>
          <w:sz w:val="22"/>
          <w:szCs w:val="22"/>
        </w:rPr>
        <w:t xml:space="preserve">La Entidad practicará la verificación y actualización de la información de los asociados activos y relacionados contractuales por lo menos una vez al año, utilizando los formatos establecidos por la entidad para tal fin. Respecto a los asociados inactivos, </w:t>
      </w:r>
      <w:r>
        <w:rPr>
          <w:rFonts w:ascii="Century Gothic" w:hAnsi="Century Gothic" w:cs="Helvetica" w:eastAsiaTheme="minorHAnsi"/>
          <w:sz w:val="22"/>
          <w:szCs w:val="22"/>
          <w:lang w:eastAsia="en-US"/>
        </w:rPr>
        <w:t>la actualización se llevará a cabo cuando deje de tener tal condición.</w:t>
      </w:r>
    </w:p>
    <w:p w14:paraId="0ECBBE6B">
      <w:pPr>
        <w:pStyle w:val="86"/>
        <w:jc w:val="both"/>
        <w:rPr>
          <w:rFonts w:ascii="Century Gothic" w:hAnsi="Century Gothic"/>
          <w:sz w:val="22"/>
          <w:szCs w:val="22"/>
        </w:rPr>
      </w:pPr>
      <w:r>
        <w:rPr>
          <w:rFonts w:ascii="Century Gothic" w:hAnsi="Century Gothic"/>
          <w:sz w:val="22"/>
          <w:szCs w:val="22"/>
        </w:rPr>
        <w:t xml:space="preserve"> </w:t>
      </w:r>
    </w:p>
    <w:p w14:paraId="3954C63E">
      <w:pPr>
        <w:pStyle w:val="86"/>
        <w:jc w:val="both"/>
        <w:rPr>
          <w:rFonts w:ascii="Century Gothic" w:hAnsi="Century Gothic"/>
          <w:sz w:val="22"/>
          <w:szCs w:val="22"/>
        </w:rPr>
      </w:pPr>
      <w:r>
        <w:rPr>
          <w:rFonts w:ascii="Century Gothic" w:hAnsi="Century Gothic"/>
          <w:sz w:val="22"/>
          <w:szCs w:val="22"/>
        </w:rPr>
        <w:t xml:space="preserve">Todo sujeto a quien no se le pueda confirmar la información mientras no se demuestre su veracidad y calidad será considerado como un evento inusual. </w:t>
      </w:r>
    </w:p>
    <w:p w14:paraId="04461B48">
      <w:pPr>
        <w:pStyle w:val="86"/>
        <w:jc w:val="both"/>
        <w:rPr>
          <w:rFonts w:ascii="Century Gothic" w:hAnsi="Century Gothic"/>
          <w:sz w:val="22"/>
          <w:szCs w:val="22"/>
        </w:rPr>
      </w:pPr>
    </w:p>
    <w:p w14:paraId="10915C12">
      <w:pPr>
        <w:autoSpaceDE w:val="0"/>
        <w:autoSpaceDN w:val="0"/>
        <w:adjustRightInd w:val="0"/>
        <w:spacing w:after="160"/>
        <w:contextualSpacing/>
        <w:rPr>
          <w:rFonts w:ascii="Century Gothic" w:hAnsi="Century Gothic"/>
          <w:sz w:val="22"/>
          <w:szCs w:val="22"/>
        </w:rPr>
      </w:pPr>
      <w:r>
        <w:rPr>
          <w:rFonts w:ascii="Century Gothic" w:hAnsi="Century Gothic"/>
          <w:sz w:val="22"/>
          <w:szCs w:val="22"/>
        </w:rPr>
        <w:t>El Gerente o el Oficial de Cumplimiento, podrán ordenar realizar visitas de seguimiento o marcar al asociado como un potencial de riesgo, mientras se logran confirmar los datos.</w:t>
      </w:r>
    </w:p>
    <w:p w14:paraId="5E8A33DE">
      <w:pPr>
        <w:pStyle w:val="86"/>
        <w:jc w:val="both"/>
        <w:rPr>
          <w:rFonts w:ascii="Century Gothic" w:hAnsi="Century Gothic"/>
          <w:b/>
          <w:bCs/>
          <w:sz w:val="22"/>
          <w:szCs w:val="22"/>
        </w:rPr>
      </w:pPr>
    </w:p>
    <w:p w14:paraId="5CD4FE7D">
      <w:pPr>
        <w:pStyle w:val="86"/>
        <w:jc w:val="both"/>
        <w:rPr>
          <w:rFonts w:ascii="Century Gothic" w:hAnsi="Century Gothic"/>
          <w:b/>
          <w:bCs/>
          <w:sz w:val="22"/>
          <w:szCs w:val="22"/>
        </w:rPr>
      </w:pPr>
      <w:r>
        <w:rPr>
          <w:rFonts w:ascii="Century Gothic" w:hAnsi="Century Gothic"/>
          <w:b/>
          <w:bCs/>
          <w:sz w:val="22"/>
          <w:szCs w:val="22"/>
        </w:rPr>
        <w:t xml:space="preserve">Política Para Ejercer Sanciones. </w:t>
      </w:r>
    </w:p>
    <w:p w14:paraId="7233F300">
      <w:pPr>
        <w:pStyle w:val="86"/>
        <w:jc w:val="both"/>
        <w:rPr>
          <w:rFonts w:ascii="Century Gothic" w:hAnsi="Century Gothic"/>
          <w:b/>
          <w:bCs/>
          <w:sz w:val="22"/>
          <w:szCs w:val="22"/>
        </w:rPr>
      </w:pPr>
    </w:p>
    <w:p w14:paraId="76000045">
      <w:pPr>
        <w:autoSpaceDE w:val="0"/>
        <w:autoSpaceDN w:val="0"/>
        <w:adjustRightInd w:val="0"/>
        <w:rPr>
          <w:rFonts w:ascii="Century Gothic" w:hAnsi="Century Gothic" w:cs="Arial" w:eastAsiaTheme="minorHAnsi"/>
          <w:sz w:val="22"/>
          <w:szCs w:val="22"/>
          <w:lang w:eastAsia="en-US"/>
        </w:rPr>
      </w:pPr>
      <w:r>
        <w:rPr>
          <w:rFonts w:ascii="Century Gothic" w:hAnsi="Century Gothic" w:cs="Arial" w:eastAsiaTheme="minorHAnsi"/>
          <w:sz w:val="22"/>
          <w:szCs w:val="22"/>
          <w:lang w:val="es-MX" w:eastAsia="en-US"/>
        </w:rPr>
        <w:t>La Entidad</w:t>
      </w:r>
      <w:r>
        <w:rPr>
          <w:rFonts w:ascii="Century Gothic" w:hAnsi="Century Gothic" w:cs="Arial" w:eastAsiaTheme="minorHAnsi"/>
          <w:sz w:val="22"/>
          <w:szCs w:val="22"/>
          <w:lang w:eastAsia="en-US"/>
        </w:rPr>
        <w:t xml:space="preserve"> adelantará las acciones conducentes para que se sancione penal, administrativa y laboralmente, cuando fuere necesario, a los directivos, administradores y empleados que directa o indirectamente faciliten, permitan o coadyuven en la utilización de la Entidad, como instrumento para la realización de lavado de activos y  financiación del terrorismo.</w:t>
      </w:r>
    </w:p>
    <w:p w14:paraId="655227CF">
      <w:pPr>
        <w:pStyle w:val="86"/>
        <w:jc w:val="both"/>
        <w:rPr>
          <w:rFonts w:ascii="Century Gothic" w:hAnsi="Century Gothic"/>
          <w:sz w:val="22"/>
          <w:szCs w:val="22"/>
        </w:rPr>
      </w:pPr>
    </w:p>
    <w:p w14:paraId="1BCE18CD">
      <w:pPr>
        <w:pStyle w:val="86"/>
        <w:jc w:val="both"/>
        <w:rPr>
          <w:rFonts w:ascii="Century Gothic" w:hAnsi="Century Gothic"/>
          <w:b/>
          <w:bCs/>
          <w:sz w:val="22"/>
          <w:szCs w:val="22"/>
        </w:rPr>
      </w:pPr>
      <w:r>
        <w:rPr>
          <w:rFonts w:ascii="Century Gothic" w:hAnsi="Century Gothic"/>
          <w:b/>
          <w:bCs/>
          <w:sz w:val="22"/>
          <w:szCs w:val="22"/>
        </w:rPr>
        <w:t>Política de Responsabilidades</w:t>
      </w:r>
    </w:p>
    <w:p w14:paraId="4C9A39D4">
      <w:pPr>
        <w:pStyle w:val="86"/>
        <w:jc w:val="both"/>
        <w:rPr>
          <w:rFonts w:ascii="Century Gothic" w:hAnsi="Century Gothic"/>
          <w:sz w:val="22"/>
          <w:szCs w:val="22"/>
        </w:rPr>
      </w:pPr>
    </w:p>
    <w:p w14:paraId="53A94D2F">
      <w:pPr>
        <w:pStyle w:val="86"/>
        <w:contextualSpacing/>
        <w:jc w:val="both"/>
        <w:rPr>
          <w:rFonts w:ascii="Century Gothic" w:hAnsi="Century Gothic"/>
          <w:sz w:val="22"/>
          <w:szCs w:val="22"/>
        </w:rPr>
      </w:pPr>
      <w:r>
        <w:rPr>
          <w:rFonts w:ascii="Century Gothic" w:hAnsi="Century Gothic"/>
          <w:sz w:val="22"/>
          <w:szCs w:val="22"/>
        </w:rPr>
        <w:t xml:space="preserve">El representante legal, el Consejo de Administración, el Oficial de Cumplimiento y cada uno de los empleados de la Entidad, serán responsables por implementar planes estratégicos para sensibilizar toda la estructura organizacional frente al LA/FT, para que se apliquen los procedimientos diseñados de manera oportuna, situación que permitirá mitigar el riesgo para evitar que se materialicen; además cada uno de los integrantes de la Entidad deberán aportar al desarrollo de la cultura institucional de Prevención y Control de LA/FT. </w:t>
      </w:r>
    </w:p>
    <w:p w14:paraId="2102F5BE">
      <w:pPr>
        <w:pStyle w:val="86"/>
        <w:contextualSpacing/>
        <w:jc w:val="both"/>
        <w:rPr>
          <w:rFonts w:ascii="Century Gothic" w:hAnsi="Century Gothic"/>
          <w:sz w:val="22"/>
          <w:szCs w:val="22"/>
        </w:rPr>
      </w:pPr>
    </w:p>
    <w:p w14:paraId="099A428F">
      <w:pPr>
        <w:pStyle w:val="3"/>
        <w:spacing w:after="240"/>
        <w:contextualSpacing/>
        <w:rPr>
          <w:rFonts w:ascii="Century Gothic" w:hAnsi="Century Gothic"/>
          <w:sz w:val="22"/>
          <w:szCs w:val="22"/>
        </w:rPr>
      </w:pPr>
      <w:bookmarkStart w:id="67" w:name="_Toc333831360"/>
      <w:bookmarkStart w:id="68" w:name="_Toc520611839"/>
      <w:r>
        <w:rPr>
          <w:rFonts w:ascii="Century Gothic" w:hAnsi="Century Gothic"/>
          <w:sz w:val="22"/>
          <w:szCs w:val="22"/>
        </w:rPr>
        <w:t xml:space="preserve">Política de recursos para </w:t>
      </w:r>
      <w:bookmarkEnd w:id="67"/>
      <w:bookmarkEnd w:id="68"/>
      <w:r>
        <w:rPr>
          <w:rFonts w:ascii="Century Gothic" w:hAnsi="Century Gothic"/>
          <w:sz w:val="22"/>
          <w:szCs w:val="22"/>
        </w:rPr>
        <w:t>el SARLAFT</w:t>
      </w:r>
    </w:p>
    <w:p w14:paraId="7DF814D4">
      <w:pPr>
        <w:autoSpaceDE w:val="0"/>
        <w:autoSpaceDN w:val="0"/>
        <w:adjustRightInd w:val="0"/>
        <w:contextualSpacing/>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La Entidad garantizará permanentemente los recursos humanos, tecnológicos, logísticos y financieros para hacer efectivos los mecanismos establecidos para la prevención y el control del LA/FT.</w:t>
      </w:r>
    </w:p>
    <w:p w14:paraId="314401A7">
      <w:pPr>
        <w:autoSpaceDE w:val="0"/>
        <w:autoSpaceDN w:val="0"/>
        <w:adjustRightInd w:val="0"/>
        <w:ind w:left="360"/>
        <w:contextualSpacing/>
        <w:rPr>
          <w:rFonts w:ascii="Century Gothic" w:hAnsi="Century Gothic" w:cs="Arial" w:eastAsiaTheme="minorHAnsi"/>
          <w:sz w:val="22"/>
          <w:szCs w:val="22"/>
          <w:lang w:val="es-MX" w:eastAsia="en-US"/>
        </w:rPr>
      </w:pPr>
    </w:p>
    <w:p w14:paraId="36141AA1">
      <w:pPr>
        <w:autoSpaceDE w:val="0"/>
        <w:autoSpaceDN w:val="0"/>
        <w:adjustRightInd w:val="0"/>
        <w:contextualSpacing/>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Los documentos que se elaboren dentro del contexto del SARLAFT deberán ser conocidos y sus contenidos puestos en práctica por todos los directivos, administradores y empleados de la Entidad.</w:t>
      </w:r>
    </w:p>
    <w:p w14:paraId="4E582D90">
      <w:pPr>
        <w:autoSpaceDE w:val="0"/>
        <w:autoSpaceDN w:val="0"/>
        <w:adjustRightInd w:val="0"/>
        <w:spacing w:after="160"/>
        <w:contextualSpacing/>
        <w:rPr>
          <w:rFonts w:ascii="Century Gothic" w:hAnsi="Century Gothic"/>
          <w:sz w:val="22"/>
          <w:szCs w:val="22"/>
        </w:rPr>
      </w:pPr>
    </w:p>
    <w:p w14:paraId="27D8C6DB">
      <w:pPr>
        <w:autoSpaceDE w:val="0"/>
        <w:autoSpaceDN w:val="0"/>
        <w:adjustRightInd w:val="0"/>
        <w:rPr>
          <w:rFonts w:ascii="Century Gothic" w:hAnsi="Century Gothic" w:cs="Calibri" w:eastAsiaTheme="minorHAnsi"/>
          <w:b/>
          <w:bCs/>
          <w:color w:val="000000"/>
          <w:sz w:val="22"/>
          <w:szCs w:val="22"/>
          <w:lang w:eastAsia="en-US"/>
        </w:rPr>
      </w:pPr>
      <w:r>
        <w:rPr>
          <w:rFonts w:ascii="Century Gothic" w:hAnsi="Century Gothic" w:cs="Calibri" w:eastAsiaTheme="minorHAnsi"/>
          <w:b/>
          <w:bCs/>
          <w:color w:val="000000"/>
          <w:sz w:val="22"/>
          <w:szCs w:val="22"/>
          <w:lang w:eastAsia="en-US"/>
        </w:rPr>
        <w:t xml:space="preserve">Política de grado de aportación de los funcionarios al oficial de cumplimiento. </w:t>
      </w:r>
    </w:p>
    <w:p w14:paraId="4251755B">
      <w:pPr>
        <w:autoSpaceDE w:val="0"/>
        <w:autoSpaceDN w:val="0"/>
        <w:adjustRightInd w:val="0"/>
        <w:rPr>
          <w:rFonts w:ascii="Century Gothic" w:hAnsi="Century Gothic" w:cs="Calibri" w:eastAsiaTheme="minorHAnsi"/>
          <w:color w:val="000000"/>
          <w:sz w:val="22"/>
          <w:szCs w:val="22"/>
          <w:lang w:eastAsia="en-US"/>
        </w:rPr>
      </w:pPr>
    </w:p>
    <w:p w14:paraId="4A100DEF">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Todos los funcionarios podrán comunicarse directamente con el Oficial de Cumplimiento. Los responsables de ejecutar procedimientos relacionados con el SARLAFT deberán enviar reportes periódicos al Oficial de cumplimiento y cualquier inquietud de sospecha que se presente sobre un asociado, empleado, directivo o relacionado contractual, deberá realizarse por escrito y debidamente documentado, toda vez que en última instancia la decisión de catalogar como sospechosa una operación se encuentra bajo la responsabilidad del Oficial de Cumplimiento. </w:t>
      </w:r>
    </w:p>
    <w:p w14:paraId="64F3568D">
      <w:pPr>
        <w:autoSpaceDE w:val="0"/>
        <w:autoSpaceDN w:val="0"/>
        <w:adjustRightInd w:val="0"/>
        <w:rPr>
          <w:rFonts w:ascii="Century Gothic" w:hAnsi="Century Gothic" w:cs="Calibri" w:eastAsiaTheme="minorHAnsi"/>
          <w:color w:val="000000"/>
          <w:sz w:val="22"/>
          <w:szCs w:val="22"/>
          <w:lang w:eastAsia="en-US"/>
        </w:rPr>
      </w:pPr>
    </w:p>
    <w:p w14:paraId="664C390F">
      <w:pPr>
        <w:autoSpaceDE w:val="0"/>
        <w:autoSpaceDN w:val="0"/>
        <w:adjustRightInd w:val="0"/>
        <w:rPr>
          <w:rFonts w:ascii="Century Gothic" w:hAnsi="Century Gothic" w:cs="Calibri" w:eastAsiaTheme="minorHAnsi"/>
          <w:b/>
          <w:bCs/>
          <w:color w:val="000000"/>
          <w:sz w:val="22"/>
          <w:szCs w:val="22"/>
          <w:lang w:eastAsia="en-US"/>
        </w:rPr>
      </w:pPr>
      <w:r>
        <w:rPr>
          <w:rFonts w:ascii="Century Gothic" w:hAnsi="Century Gothic" w:cs="Calibri" w:eastAsiaTheme="minorHAnsi"/>
          <w:b/>
          <w:bCs/>
          <w:color w:val="000000"/>
          <w:sz w:val="22"/>
          <w:szCs w:val="22"/>
          <w:lang w:eastAsia="en-US"/>
        </w:rPr>
        <w:t>Política de conservación de documentos</w:t>
      </w:r>
    </w:p>
    <w:p w14:paraId="1535EC7D">
      <w:pPr>
        <w:autoSpaceDE w:val="0"/>
        <w:autoSpaceDN w:val="0"/>
        <w:adjustRightInd w:val="0"/>
        <w:rPr>
          <w:rFonts w:ascii="Century Gothic" w:hAnsi="Century Gothic" w:cs="Calibri" w:eastAsiaTheme="minorHAnsi"/>
          <w:color w:val="000000"/>
          <w:sz w:val="22"/>
          <w:szCs w:val="22"/>
          <w:lang w:eastAsia="en-US"/>
        </w:rPr>
      </w:pPr>
    </w:p>
    <w:p w14:paraId="3DED5D12">
      <w:pPr>
        <w:autoSpaceDE w:val="0"/>
        <w:autoSpaceDN w:val="0"/>
        <w:adjustRightInd w:val="0"/>
        <w:rPr>
          <w:rFonts w:ascii="Century Gothic" w:hAnsi="Century Gothic" w:cs="Arial" w:eastAsiaTheme="minorHAnsi"/>
          <w:sz w:val="22"/>
          <w:szCs w:val="22"/>
          <w:lang w:eastAsia="en-US"/>
        </w:rPr>
      </w:pPr>
      <w:r>
        <w:rPr>
          <w:rFonts w:ascii="Century Gothic" w:hAnsi="Century Gothic" w:cs="Calibri" w:eastAsiaTheme="minorHAnsi"/>
          <w:color w:val="000000"/>
          <w:sz w:val="22"/>
          <w:szCs w:val="22"/>
          <w:lang w:eastAsia="en-US"/>
        </w:rPr>
        <w:t xml:space="preserve">Los documentos y registros relacionados con el cumplimiento de las normas sobre prevención y control del lavado de activos y financiación del terrorismo se conservarán dentro del archivo de gestión ( Expediente SARLAFT) del Oficial de Cumplimiento durante un año, luego del cual se conservarán en el archivo general durante cinco (5) años, pasado este tiempo y si no se ha efectuado ningún requerimiento al respecto por autoridad competente, </w:t>
      </w:r>
      <w:r>
        <w:rPr>
          <w:rFonts w:ascii="Century Gothic" w:hAnsi="Century Gothic" w:cs="Arial" w:eastAsiaTheme="minorHAnsi"/>
          <w:sz w:val="22"/>
          <w:szCs w:val="22"/>
          <w:lang w:eastAsia="en-US"/>
        </w:rPr>
        <w:t>al cabo de este lapso pueden ser destruidos siempre y cuando se cumpla con las siguientes condiciones:</w:t>
      </w:r>
    </w:p>
    <w:p w14:paraId="56185F7E">
      <w:pPr>
        <w:autoSpaceDE w:val="0"/>
        <w:autoSpaceDN w:val="0"/>
        <w:adjustRightInd w:val="0"/>
        <w:rPr>
          <w:rFonts w:ascii="Century Gothic" w:hAnsi="Century Gothic" w:cs="Arial" w:eastAsiaTheme="minorHAnsi"/>
          <w:sz w:val="22"/>
          <w:szCs w:val="22"/>
          <w:lang w:eastAsia="en-US"/>
        </w:rPr>
      </w:pPr>
    </w:p>
    <w:p w14:paraId="00144A75">
      <w:pPr>
        <w:pStyle w:val="65"/>
        <w:numPr>
          <w:ilvl w:val="0"/>
          <w:numId w:val="31"/>
        </w:numPr>
        <w:autoSpaceDE w:val="0"/>
        <w:autoSpaceDN w:val="0"/>
        <w:adjustRightInd w:val="0"/>
        <w:rPr>
          <w:rFonts w:ascii="Century Gothic" w:hAnsi="Century Gothic" w:cs="Arial" w:eastAsiaTheme="minorHAnsi"/>
          <w:sz w:val="22"/>
          <w:szCs w:val="22"/>
          <w:lang w:val="es-CO" w:eastAsia="en-US"/>
        </w:rPr>
      </w:pPr>
      <w:r>
        <w:rPr>
          <w:rFonts w:ascii="Century Gothic" w:hAnsi="Century Gothic" w:cs="Arial" w:eastAsiaTheme="minorHAnsi"/>
          <w:sz w:val="22"/>
          <w:szCs w:val="22"/>
          <w:lang w:val="es-CO" w:eastAsia="en-US"/>
        </w:rPr>
        <w:t>Que no exista solicitud de entrega de dicha información por parte de las autoridades competentes y</w:t>
      </w:r>
    </w:p>
    <w:p w14:paraId="25790A47">
      <w:pPr>
        <w:pStyle w:val="65"/>
        <w:numPr>
          <w:ilvl w:val="0"/>
          <w:numId w:val="31"/>
        </w:numPr>
        <w:autoSpaceDE w:val="0"/>
        <w:autoSpaceDN w:val="0"/>
        <w:adjustRightInd w:val="0"/>
        <w:rPr>
          <w:rFonts w:ascii="Century Gothic" w:hAnsi="Century Gothic" w:cs="Arial" w:eastAsiaTheme="minorHAnsi"/>
          <w:sz w:val="22"/>
          <w:szCs w:val="22"/>
          <w:lang w:val="es-CO" w:eastAsia="en-US"/>
        </w:rPr>
      </w:pPr>
      <w:r>
        <w:rPr>
          <w:rFonts w:ascii="Century Gothic" w:hAnsi="Century Gothic" w:cs="Arial" w:eastAsiaTheme="minorHAnsi"/>
          <w:sz w:val="22"/>
          <w:szCs w:val="22"/>
          <w:lang w:val="es-CO" w:eastAsia="en-US"/>
        </w:rPr>
        <w:t>Que se conserven en medio técnico que garantice su posterior reproducción exacta y la preservación de su valor probatorio.</w:t>
      </w:r>
    </w:p>
    <w:p w14:paraId="2A6ED8EA">
      <w:pPr>
        <w:autoSpaceDE w:val="0"/>
        <w:autoSpaceDN w:val="0"/>
        <w:adjustRightInd w:val="0"/>
        <w:rPr>
          <w:rFonts w:ascii="Century Gothic" w:hAnsi="Century Gothic" w:cs="Calibri" w:eastAsiaTheme="minorHAnsi"/>
          <w:color w:val="000000"/>
          <w:sz w:val="22"/>
          <w:szCs w:val="22"/>
          <w:lang w:eastAsia="en-US"/>
        </w:rPr>
      </w:pPr>
    </w:p>
    <w:p w14:paraId="798454C2">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La conservación de los documentos relacionados con LA/FT, de  asociados, empleados, directivos y relacionados contractuales, será responsabilidad de las áreas operacionales responsables de cada proceso..</w:t>
      </w:r>
    </w:p>
    <w:p w14:paraId="64B488D1">
      <w:pPr>
        <w:pStyle w:val="3"/>
        <w:spacing w:after="240"/>
        <w:rPr>
          <w:rFonts w:ascii="Century Gothic" w:hAnsi="Century Gothic"/>
          <w:sz w:val="22"/>
          <w:szCs w:val="22"/>
        </w:rPr>
      </w:pPr>
      <w:bookmarkStart w:id="69" w:name="_Toc520611845"/>
      <w:r>
        <w:rPr>
          <w:rFonts w:ascii="Century Gothic" w:hAnsi="Century Gothic"/>
          <w:sz w:val="22"/>
          <w:szCs w:val="22"/>
        </w:rPr>
        <w:t>Políticas de reserva de la información</w:t>
      </w:r>
      <w:bookmarkEnd w:id="69"/>
    </w:p>
    <w:p w14:paraId="7CF19AF4">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Los funcionarios y directivos de la Entidad deben conservar y acatar la Reserva de Información, consagrada en el artículo 8 de la Ley 1121 de 2006 y el artículo 105 del Estatuto Orgánico del sistema Financiero ( EOSF), la cual consiste en el deber jurídico que tienen las entidades financieras en su calidad de personas jurídicas y sus funcionarios (administradores, gerentes, directivos, empleados) de guardar reserva, secreto y discreción sobre la información de sus asociados, con relación a: saldos, cuentas, transacciones, negocios, ingresos, patrimonio, bienes declarados, etc. o sobre aquellos datos relacionados con la situación propia de la persona o compañía, que conozcan en desarrollo de su profesión u oficio. </w:t>
      </w:r>
    </w:p>
    <w:p w14:paraId="5BD28B75">
      <w:pPr>
        <w:autoSpaceDE w:val="0"/>
        <w:autoSpaceDN w:val="0"/>
        <w:adjustRightInd w:val="0"/>
        <w:rPr>
          <w:rFonts w:ascii="Century Gothic" w:hAnsi="Century Gothic" w:cs="Arial" w:eastAsiaTheme="minorHAnsi"/>
          <w:color w:val="000000"/>
          <w:sz w:val="22"/>
          <w:szCs w:val="22"/>
          <w:lang w:eastAsia="en-US"/>
        </w:rPr>
      </w:pPr>
    </w:p>
    <w:p w14:paraId="373CFB6B">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Esta obligación comprende tanto los datos que suministre directamente el asociado, como aquellos que configuren la relación comercial entre él y la entidad, y debe cumplirse durante la vigencia del vínculo comercial y aun cuando éste haya terminado. </w:t>
      </w:r>
    </w:p>
    <w:p w14:paraId="398611A3">
      <w:pPr>
        <w:autoSpaceDE w:val="0"/>
        <w:autoSpaceDN w:val="0"/>
        <w:adjustRightInd w:val="0"/>
        <w:rPr>
          <w:rFonts w:ascii="Century Gothic" w:hAnsi="Century Gothic" w:cs="Arial" w:eastAsiaTheme="minorHAnsi"/>
          <w:color w:val="000000"/>
          <w:sz w:val="22"/>
          <w:szCs w:val="22"/>
          <w:lang w:eastAsia="en-US"/>
        </w:rPr>
      </w:pPr>
    </w:p>
    <w:p w14:paraId="675F64EB">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La Entidad no opondrá la reserva de la información, como argumento para la entrega de información de sus asociados y/u operaciones, a las autoridades dentro de los procesos de investigación de su competencia, conforme a lo dispuesto en el artículo 15 de la Constitución Nacional y en los artículos 63 del Código de Comercio, 260 del Código de Procedimiento Penal, 288 del Código de Procedimiento Civil y 105 del Estatuto Orgánico del Sistema Financiero, o en aquellas normas que los adicionen, modifiquen o sustituyan. </w:t>
      </w:r>
    </w:p>
    <w:p w14:paraId="51AF68E1">
      <w:pPr>
        <w:autoSpaceDE w:val="0"/>
        <w:autoSpaceDN w:val="0"/>
        <w:adjustRightInd w:val="0"/>
        <w:rPr>
          <w:rFonts w:ascii="Century Gothic" w:hAnsi="Century Gothic" w:cs="Arial" w:eastAsiaTheme="minorHAnsi"/>
          <w:color w:val="000000"/>
          <w:sz w:val="22"/>
          <w:szCs w:val="22"/>
          <w:lang w:eastAsia="en-US"/>
        </w:rPr>
      </w:pPr>
    </w:p>
    <w:p w14:paraId="515773F4">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Los administradores y funcionarios de la Entidad, no podrán dar a conocer a las personas que hayan efectuado o intenten efectuar operaciones sospechosas, que se ha remitido a la UIAF información sobre las mismas y deberán guardar reserva sobre dicha información. </w:t>
      </w:r>
    </w:p>
    <w:p w14:paraId="148B6A4E">
      <w:pPr>
        <w:pStyle w:val="3"/>
        <w:spacing w:after="240"/>
        <w:contextualSpacing/>
        <w:rPr>
          <w:rFonts w:ascii="Century Gothic" w:hAnsi="Century Gothic"/>
          <w:sz w:val="22"/>
          <w:szCs w:val="22"/>
        </w:rPr>
      </w:pPr>
      <w:r>
        <w:rPr>
          <w:rFonts w:ascii="Century Gothic" w:hAnsi="Century Gothic"/>
          <w:sz w:val="22"/>
          <w:szCs w:val="22"/>
        </w:rPr>
        <w:t>Política para vinculación de Personas Públicamente Expuestas</w:t>
      </w:r>
    </w:p>
    <w:p w14:paraId="18DAF6C8">
      <w:pPr>
        <w:autoSpaceDE w:val="0"/>
        <w:autoSpaceDN w:val="0"/>
        <w:adjustRightInd w:val="0"/>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La Entidad definirá procedimientos vinculación y conocimiento de personas nacionales o extranjeras, ya sea a título de asociado, o relacionados contractuales que por razón de su cargo manejen recursos públicos o tengan poder de disposición sobre éstos, y que se las haya confiado un función pública prominente en una organización internacional o del estado, o gocen de reconocimiento público y puedan exponer en mayor grado a la organización solidaria al riesgo de LA/FT. (Ver procedimientos especiales – Personas Expuestas Públicamente – PEP).</w:t>
      </w:r>
    </w:p>
    <w:p w14:paraId="03E76183">
      <w:pPr>
        <w:autoSpaceDE w:val="0"/>
        <w:autoSpaceDN w:val="0"/>
        <w:adjustRightInd w:val="0"/>
        <w:rPr>
          <w:rFonts w:ascii="Century Gothic" w:hAnsi="Century Gothic" w:cs="Arial" w:eastAsiaTheme="minorHAnsi"/>
          <w:sz w:val="22"/>
          <w:szCs w:val="22"/>
          <w:lang w:val="es-MX" w:eastAsia="en-US"/>
        </w:rPr>
      </w:pPr>
    </w:p>
    <w:p w14:paraId="30025BC8">
      <w:pPr>
        <w:autoSpaceDE w:val="0"/>
        <w:autoSpaceDN w:val="0"/>
        <w:adjustRightInd w:val="0"/>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 xml:space="preserve">Las PEP extranjeras, las PEP nacionales determinadas en el decreto 1674 de 2016, y demás normas que lo modifiquen, sustituyan, adiciones, aclaren o complementen, o a quienes se les ha confiado una función pública prominente en una organización internacional, </w:t>
      </w:r>
      <w:r>
        <w:rPr>
          <w:rFonts w:ascii="Century Gothic" w:hAnsi="Century Gothic" w:cs="Arial" w:eastAsiaTheme="minorHAnsi"/>
          <w:b/>
          <w:sz w:val="22"/>
          <w:szCs w:val="22"/>
          <w:lang w:val="es-MX" w:eastAsia="en-US"/>
        </w:rPr>
        <w:t>siempre deberán ser considerados como de alto riesgo para la entidad</w:t>
      </w:r>
      <w:r>
        <w:rPr>
          <w:rFonts w:ascii="Century Gothic" w:hAnsi="Century Gothic" w:cs="Arial" w:eastAsiaTheme="minorHAnsi"/>
          <w:sz w:val="22"/>
          <w:szCs w:val="22"/>
          <w:lang w:val="es-MX" w:eastAsia="en-US"/>
        </w:rPr>
        <w:t xml:space="preserve"> y se les clasificará de acuerdo con su perfil de riesgo.</w:t>
      </w:r>
    </w:p>
    <w:p w14:paraId="6587CC5D">
      <w:pPr>
        <w:pStyle w:val="65"/>
        <w:rPr>
          <w:rFonts w:ascii="Century Gothic" w:hAnsi="Century Gothic" w:cs="Arial" w:eastAsiaTheme="minorHAnsi"/>
          <w:sz w:val="22"/>
          <w:szCs w:val="22"/>
          <w:lang w:val="es-MX" w:eastAsia="en-US"/>
        </w:rPr>
      </w:pPr>
    </w:p>
    <w:p w14:paraId="0AC9BF98">
      <w:pPr>
        <w:autoSpaceDE w:val="0"/>
        <w:autoSpaceDN w:val="0"/>
        <w:adjustRightInd w:val="0"/>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En cualquier caso, el estudio y aprobación de la vinculación de las PEP debe llevarse a cabo por parte del Consejo de Administración correspondiente, con el fin de aplicar los procedimientos correspondientes para los PEP en el SARLAFT.</w:t>
      </w:r>
    </w:p>
    <w:p w14:paraId="5D0B438A">
      <w:pPr>
        <w:pStyle w:val="3"/>
        <w:spacing w:after="240"/>
        <w:contextualSpacing/>
        <w:rPr>
          <w:rFonts w:ascii="Century Gothic" w:hAnsi="Century Gothic"/>
          <w:sz w:val="22"/>
          <w:szCs w:val="22"/>
        </w:rPr>
      </w:pPr>
      <w:bookmarkStart w:id="70" w:name="_Toc333831361"/>
      <w:bookmarkStart w:id="71" w:name="_Toc520611840"/>
      <w:r>
        <w:rPr>
          <w:rFonts w:ascii="Century Gothic" w:hAnsi="Century Gothic"/>
          <w:sz w:val="22"/>
          <w:szCs w:val="22"/>
        </w:rPr>
        <w:t>Política de resolución de conflictos de interés</w:t>
      </w:r>
      <w:bookmarkEnd w:id="70"/>
      <w:bookmarkEnd w:id="71"/>
    </w:p>
    <w:p w14:paraId="142AF0A8">
      <w:pPr>
        <w:pStyle w:val="3"/>
        <w:spacing w:after="240"/>
        <w:contextualSpacing/>
        <w:rPr>
          <w:rFonts w:ascii="Century Gothic" w:hAnsi="Century Gothic"/>
          <w:sz w:val="22"/>
          <w:szCs w:val="22"/>
        </w:rPr>
      </w:pPr>
    </w:p>
    <w:p w14:paraId="4E5F299B">
      <w:pPr>
        <w:pStyle w:val="3"/>
        <w:spacing w:after="240"/>
        <w:contextualSpacing/>
        <w:rPr>
          <w:rFonts w:ascii="Century Gothic" w:hAnsi="Century Gothic"/>
          <w:b w:val="0"/>
          <w:sz w:val="22"/>
          <w:szCs w:val="22"/>
        </w:rPr>
      </w:pPr>
      <w:r>
        <w:rPr>
          <w:rFonts w:ascii="Century Gothic" w:hAnsi="Century Gothic" w:eastAsiaTheme="minorHAnsi"/>
          <w:b w:val="0"/>
          <w:sz w:val="22"/>
          <w:szCs w:val="22"/>
          <w:lang w:val="es-MX" w:eastAsia="en-US"/>
        </w:rPr>
        <w:t>La Entidad cuenta con el código buen gobierno corporativo, el cual incorpora los lineamientos para la prevención y resolución de conflictos de interés, pautas de comportamiento, y ética,  así como otros aspectos que facilitan el adecuado gobierno corporativo</w:t>
      </w:r>
    </w:p>
    <w:p w14:paraId="33CC1193">
      <w:pPr>
        <w:autoSpaceDE w:val="0"/>
        <w:autoSpaceDN w:val="0"/>
        <w:adjustRightInd w:val="0"/>
        <w:contextualSpacing/>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Es deber de la Gerencia, de los administradores, de los Organismos de Control, del Oficial de Cumplimiento y  los empleados de la Entidad anteponer la observancia de los principios éticos y el cumplimiento de las normas en materia de prevención y control de LA/FT al logro de las metas comerciales.</w:t>
      </w:r>
    </w:p>
    <w:p w14:paraId="26F11211">
      <w:pPr>
        <w:autoSpaceDE w:val="0"/>
        <w:autoSpaceDN w:val="0"/>
        <w:adjustRightInd w:val="0"/>
        <w:contextualSpacing/>
        <w:rPr>
          <w:rFonts w:ascii="Century Gothic" w:hAnsi="Century Gothic" w:cs="Calibri" w:eastAsiaTheme="minorHAnsi"/>
          <w:color w:val="000000"/>
          <w:sz w:val="22"/>
          <w:szCs w:val="22"/>
          <w:lang w:eastAsia="en-US"/>
        </w:rPr>
      </w:pPr>
    </w:p>
    <w:p w14:paraId="094EEB73">
      <w:pPr>
        <w:autoSpaceDE w:val="0"/>
        <w:autoSpaceDN w:val="0"/>
        <w:adjustRightInd w:val="0"/>
        <w:rPr>
          <w:rFonts w:ascii="Century Gothic" w:hAnsi="Century Gothic" w:cs="Calibri" w:eastAsiaTheme="minorHAnsi"/>
          <w:b/>
          <w:bCs/>
          <w:color w:val="000000"/>
          <w:sz w:val="22"/>
          <w:szCs w:val="22"/>
          <w:lang w:eastAsia="en-US"/>
        </w:rPr>
      </w:pPr>
      <w:r>
        <w:rPr>
          <w:rFonts w:ascii="Century Gothic" w:hAnsi="Century Gothic" w:cs="Calibri" w:eastAsiaTheme="minorHAnsi"/>
          <w:b/>
          <w:bCs/>
          <w:color w:val="000000"/>
          <w:sz w:val="22"/>
          <w:szCs w:val="22"/>
          <w:lang w:eastAsia="en-US"/>
        </w:rPr>
        <w:t xml:space="preserve">Política de Ingreso Asociados </w:t>
      </w:r>
    </w:p>
    <w:p w14:paraId="33AB4304">
      <w:pPr>
        <w:autoSpaceDE w:val="0"/>
        <w:autoSpaceDN w:val="0"/>
        <w:adjustRightInd w:val="0"/>
        <w:rPr>
          <w:rFonts w:ascii="Century Gothic" w:hAnsi="Century Gothic" w:cs="Calibri" w:eastAsiaTheme="minorHAnsi"/>
          <w:color w:val="000000"/>
          <w:sz w:val="22"/>
          <w:szCs w:val="22"/>
          <w:lang w:eastAsia="en-US"/>
        </w:rPr>
      </w:pPr>
    </w:p>
    <w:p w14:paraId="480EDDF8">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En virtud a lo consignado en el estatuto de la Entidad, las personas naturales y jurídicas deberán cumplir los siguientes requisitos para ser admitidos como asociados: </w:t>
      </w:r>
    </w:p>
    <w:p w14:paraId="7D664270">
      <w:pPr>
        <w:autoSpaceDE w:val="0"/>
        <w:autoSpaceDN w:val="0"/>
        <w:adjustRightInd w:val="0"/>
        <w:rPr>
          <w:rFonts w:ascii="Century Gothic" w:hAnsi="Century Gothic" w:cs="Calibri" w:eastAsiaTheme="minorHAnsi"/>
          <w:color w:val="000000"/>
          <w:sz w:val="22"/>
          <w:szCs w:val="22"/>
          <w:lang w:eastAsia="en-US"/>
        </w:rPr>
      </w:pPr>
    </w:p>
    <w:p w14:paraId="570FD09A">
      <w:pPr>
        <w:autoSpaceDE w:val="0"/>
        <w:autoSpaceDN w:val="0"/>
        <w:adjustRightInd w:val="0"/>
        <w:rPr>
          <w:rFonts w:ascii="Century Gothic" w:hAnsi="Century Gothic" w:cs="Calibri" w:eastAsiaTheme="minorHAnsi"/>
          <w:b/>
          <w:i/>
          <w:color w:val="000000"/>
          <w:sz w:val="22"/>
          <w:szCs w:val="22"/>
          <w:lang w:eastAsia="en-US"/>
        </w:rPr>
      </w:pPr>
      <w:r>
        <w:rPr>
          <w:rFonts w:ascii="Century Gothic" w:hAnsi="Century Gothic" w:cs="Calibri" w:eastAsiaTheme="minorHAnsi"/>
          <w:b/>
          <w:i/>
          <w:color w:val="000000"/>
          <w:sz w:val="22"/>
          <w:szCs w:val="22"/>
          <w:lang w:eastAsia="en-US"/>
        </w:rPr>
        <w:t>Personas naturales</w:t>
      </w:r>
    </w:p>
    <w:p w14:paraId="4EAD24D3">
      <w:pPr>
        <w:autoSpaceDE w:val="0"/>
        <w:autoSpaceDN w:val="0"/>
        <w:adjustRightInd w:val="0"/>
        <w:rPr>
          <w:rFonts w:ascii="Century Gothic" w:hAnsi="Century Gothic" w:cs="Calibri" w:eastAsiaTheme="minorHAnsi"/>
          <w:color w:val="000000"/>
          <w:sz w:val="22"/>
          <w:szCs w:val="22"/>
          <w:lang w:val="es-ES" w:eastAsia="en-US"/>
        </w:rPr>
      </w:pPr>
    </w:p>
    <w:p w14:paraId="0C2B32F7">
      <w:pPr>
        <w:pStyle w:val="65"/>
        <w:numPr>
          <w:ilvl w:val="0"/>
          <w:numId w:val="32"/>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Presentar por escrito solicitud ante el órgano competente</w:t>
      </w:r>
    </w:p>
    <w:p w14:paraId="0A6AA8B3">
      <w:pPr>
        <w:pStyle w:val="65"/>
        <w:numPr>
          <w:ilvl w:val="0"/>
          <w:numId w:val="32"/>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Ser mayor de 14 años y no estar afectado incapacidad legal, o quienes sin haberlos cumplido se asocien a través de su representante legal.</w:t>
      </w:r>
    </w:p>
    <w:p w14:paraId="032A3A84">
      <w:pPr>
        <w:pStyle w:val="65"/>
        <w:numPr>
          <w:ilvl w:val="0"/>
          <w:numId w:val="32"/>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Acreditar educación cooperativa básica como mínimo veinte (20) horas, o comprometerse a recibirla de acuerdo con la programación que realice la cooperativa, so pena de no recibir los beneficios o servicios.</w:t>
      </w:r>
    </w:p>
    <w:p w14:paraId="4F1218E9">
      <w:pPr>
        <w:pStyle w:val="65"/>
        <w:numPr>
          <w:ilvl w:val="0"/>
          <w:numId w:val="32"/>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Cancelar el valor equivalente a 0.5% de un S.M.M.L.V aproximado al múltiplo de cien más cercano, por concepto de gastos de papelería.</w:t>
      </w:r>
    </w:p>
    <w:p w14:paraId="44959425">
      <w:pPr>
        <w:pStyle w:val="65"/>
        <w:numPr>
          <w:ilvl w:val="0"/>
          <w:numId w:val="32"/>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Pagar en aportes sociales la suma equivalente a mínimo medio (1/2) S.M.M.L.V. valor aproximado al múltiplo de cien  más cercano, o pagar el 10% de este valor a su ingreso y el 90% restante en un periodo máximo de un año a partir de su ingreso.</w:t>
      </w:r>
    </w:p>
    <w:p w14:paraId="58079720">
      <w:pPr>
        <w:pStyle w:val="65"/>
        <w:numPr>
          <w:ilvl w:val="0"/>
          <w:numId w:val="32"/>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Autorización expresa del órgano de administración para su ingreso como asociado.</w:t>
      </w:r>
    </w:p>
    <w:p w14:paraId="4C20DEDD">
      <w:pPr>
        <w:pStyle w:val="65"/>
        <w:numPr>
          <w:ilvl w:val="0"/>
          <w:numId w:val="32"/>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Los demás requisitos establecidos por el  Consejo de Administración en los manuales y/o reglamentos.</w:t>
      </w:r>
    </w:p>
    <w:p w14:paraId="704EF330">
      <w:pPr>
        <w:autoSpaceDE w:val="0"/>
        <w:autoSpaceDN w:val="0"/>
        <w:adjustRightInd w:val="0"/>
        <w:rPr>
          <w:rFonts w:ascii="Century Gothic" w:hAnsi="Century Gothic" w:cs="Calibri" w:eastAsiaTheme="minorHAnsi"/>
          <w:color w:val="000000"/>
          <w:sz w:val="22"/>
          <w:szCs w:val="22"/>
          <w:lang w:val="es-ES" w:eastAsia="en-US"/>
        </w:rPr>
      </w:pPr>
    </w:p>
    <w:p w14:paraId="5362F2D0">
      <w:pPr>
        <w:autoSpaceDE w:val="0"/>
        <w:autoSpaceDN w:val="0"/>
        <w:adjustRightInd w:val="0"/>
        <w:rPr>
          <w:rFonts w:ascii="Century Gothic" w:hAnsi="Century Gothic" w:cs="Calibri" w:eastAsiaTheme="minorHAnsi"/>
          <w:color w:val="000000"/>
          <w:sz w:val="22"/>
          <w:szCs w:val="22"/>
          <w:lang w:val="es-ES" w:eastAsia="en-US"/>
        </w:rPr>
      </w:pPr>
    </w:p>
    <w:p w14:paraId="636A884B">
      <w:pPr>
        <w:autoSpaceDE w:val="0"/>
        <w:autoSpaceDN w:val="0"/>
        <w:adjustRightInd w:val="0"/>
        <w:rPr>
          <w:rFonts w:ascii="Century Gothic" w:hAnsi="Century Gothic" w:cs="Calibri" w:eastAsiaTheme="minorHAnsi"/>
          <w:b/>
          <w:bCs/>
          <w:i/>
          <w:color w:val="000000"/>
          <w:sz w:val="22"/>
          <w:szCs w:val="22"/>
          <w:lang w:eastAsia="en-US"/>
        </w:rPr>
      </w:pPr>
      <w:r>
        <w:rPr>
          <w:rFonts w:ascii="Century Gothic" w:hAnsi="Century Gothic" w:cs="Calibri" w:eastAsiaTheme="minorHAnsi"/>
          <w:b/>
          <w:bCs/>
          <w:i/>
          <w:color w:val="000000"/>
          <w:sz w:val="22"/>
          <w:szCs w:val="22"/>
          <w:lang w:eastAsia="en-US"/>
        </w:rPr>
        <w:t xml:space="preserve">Personas jurídicas </w:t>
      </w:r>
    </w:p>
    <w:p w14:paraId="08FB96B1">
      <w:pPr>
        <w:autoSpaceDE w:val="0"/>
        <w:autoSpaceDN w:val="0"/>
        <w:adjustRightInd w:val="0"/>
        <w:rPr>
          <w:rFonts w:ascii="Century Gothic" w:hAnsi="Century Gothic" w:cs="Calibri" w:eastAsiaTheme="minorHAnsi"/>
          <w:color w:val="000000"/>
          <w:sz w:val="22"/>
          <w:szCs w:val="22"/>
          <w:highlight w:val="yellow"/>
          <w:u w:val="single"/>
          <w:lang w:eastAsia="en-US"/>
        </w:rPr>
      </w:pPr>
    </w:p>
    <w:p w14:paraId="36D0B7ED">
      <w:pPr>
        <w:pStyle w:val="86"/>
        <w:jc w:val="both"/>
        <w:rPr>
          <w:rFonts w:ascii="Century Gothic" w:hAnsi="Century Gothic" w:cs="Arial"/>
          <w:sz w:val="22"/>
          <w:szCs w:val="22"/>
        </w:rPr>
      </w:pPr>
      <w:r>
        <w:rPr>
          <w:rFonts w:ascii="Century Gothic" w:hAnsi="Century Gothic" w:cs="Arial"/>
          <w:sz w:val="22"/>
          <w:szCs w:val="22"/>
        </w:rPr>
        <w:t xml:space="preserve">“Igualmente podrán ingresar como asociados de la Cooperativa las personas jurídicas de derecho público, cooperativo y las de derecho privado sin ánimo de lucro, podrán ser asociadas cuando cumplan los siguientes requisitos: </w:t>
      </w:r>
    </w:p>
    <w:p w14:paraId="002CDEB6">
      <w:pPr>
        <w:pStyle w:val="86"/>
        <w:jc w:val="both"/>
        <w:rPr>
          <w:rFonts w:ascii="Century Gothic" w:hAnsi="Century Gothic" w:cs="Arial"/>
          <w:sz w:val="22"/>
          <w:szCs w:val="22"/>
        </w:rPr>
      </w:pPr>
    </w:p>
    <w:p w14:paraId="36761FD1">
      <w:pPr>
        <w:pStyle w:val="65"/>
        <w:numPr>
          <w:ilvl w:val="0"/>
          <w:numId w:val="33"/>
        </w:num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Presentar solicitud por escrito al órgano permanente.</w:t>
      </w:r>
    </w:p>
    <w:p w14:paraId="7D618798">
      <w:pPr>
        <w:pStyle w:val="65"/>
        <w:numPr>
          <w:ilvl w:val="0"/>
          <w:numId w:val="33"/>
        </w:num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Pagar en aportes sociales la suma equivalente a un (1) S.M.M.L.V. valor aproximado al múltiplo de cien más cercano.</w:t>
      </w:r>
    </w:p>
    <w:p w14:paraId="65050FF4">
      <w:pPr>
        <w:pStyle w:val="65"/>
        <w:numPr>
          <w:ilvl w:val="0"/>
          <w:numId w:val="33"/>
        </w:num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Cancelar el equivalente al 1% de un S.M.M.L.V. por concepto de gastos de papelería.</w:t>
      </w:r>
    </w:p>
    <w:p w14:paraId="251E06CB">
      <w:pPr>
        <w:pStyle w:val="65"/>
        <w:numPr>
          <w:ilvl w:val="0"/>
          <w:numId w:val="33"/>
        </w:num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Autorización expresa del órgano competente para su ingreso como asociado.</w:t>
      </w:r>
    </w:p>
    <w:p w14:paraId="28E89305">
      <w:pPr>
        <w:pStyle w:val="65"/>
        <w:numPr>
          <w:ilvl w:val="0"/>
          <w:numId w:val="33"/>
        </w:num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Los demás requisitos establecidos por el Consejo de Administración en sus manuales y/o reglamentos. </w:t>
      </w:r>
    </w:p>
    <w:p w14:paraId="160A05A8">
      <w:pPr>
        <w:autoSpaceDE w:val="0"/>
        <w:autoSpaceDN w:val="0"/>
        <w:adjustRightInd w:val="0"/>
        <w:rPr>
          <w:rFonts w:ascii="Century Gothic" w:hAnsi="Century Gothic" w:cs="Arial" w:eastAsiaTheme="minorHAnsi"/>
          <w:color w:val="000000"/>
          <w:sz w:val="22"/>
          <w:szCs w:val="22"/>
          <w:lang w:eastAsia="en-US"/>
        </w:rPr>
      </w:pPr>
    </w:p>
    <w:p w14:paraId="24E512AE">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Parágrafo 1: en las asambleas de COOPCALLEJONA LTDA las personas jurídicas participarán por intermedio de su representante legal  o de la persona que éste designe.</w:t>
      </w:r>
    </w:p>
    <w:p w14:paraId="1492C608">
      <w:pPr>
        <w:autoSpaceDE w:val="0"/>
        <w:autoSpaceDN w:val="0"/>
        <w:adjustRightInd w:val="0"/>
        <w:rPr>
          <w:rFonts w:ascii="Century Gothic" w:hAnsi="Century Gothic" w:cs="Arial" w:eastAsiaTheme="minorHAnsi"/>
          <w:color w:val="000000"/>
          <w:sz w:val="22"/>
          <w:szCs w:val="22"/>
          <w:lang w:eastAsia="en-US"/>
        </w:rPr>
      </w:pPr>
    </w:p>
    <w:p w14:paraId="3E9A6F8C">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Parágrafo 2: cuando una persona natural actúe en una asamblea general en representación de una jurídica asociada a COOPCALLEJONA LTDA, y sea elegida como miembro del Consejo de Administración, cumplirá sus funciones e interés de la cooperativa, en ningún caso el de la entidad que represente.</w:t>
      </w:r>
    </w:p>
    <w:p w14:paraId="6EB0A506">
      <w:pPr>
        <w:autoSpaceDE w:val="0"/>
        <w:autoSpaceDN w:val="0"/>
        <w:adjustRightInd w:val="0"/>
        <w:rPr>
          <w:rFonts w:ascii="Century Gothic" w:hAnsi="Century Gothic" w:cs="Calibri" w:eastAsiaTheme="minorHAnsi"/>
          <w:color w:val="000000"/>
          <w:sz w:val="22"/>
          <w:szCs w:val="22"/>
          <w:lang w:val="es-ES" w:eastAsia="en-US"/>
        </w:rPr>
      </w:pPr>
    </w:p>
    <w:p w14:paraId="057666B4">
      <w:p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b/>
          <w:bCs/>
          <w:color w:val="000000"/>
          <w:sz w:val="22"/>
          <w:szCs w:val="22"/>
          <w:lang w:eastAsia="en-US"/>
        </w:rPr>
        <w:t xml:space="preserve">Política de Consulta a Listas Restrictivas e Informativas </w:t>
      </w:r>
    </w:p>
    <w:p w14:paraId="2A4EC1C3">
      <w:pPr>
        <w:autoSpaceDE w:val="0"/>
        <w:autoSpaceDN w:val="0"/>
        <w:adjustRightInd w:val="0"/>
        <w:spacing w:after="160"/>
        <w:contextualSpacing/>
        <w:rPr>
          <w:rFonts w:ascii="Century Gothic" w:hAnsi="Century Gothic" w:cs="Calibri" w:eastAsiaTheme="minorHAnsi"/>
          <w:color w:val="000000"/>
          <w:sz w:val="22"/>
          <w:szCs w:val="22"/>
          <w:lang w:eastAsia="en-US"/>
        </w:rPr>
      </w:pPr>
    </w:p>
    <w:p w14:paraId="2A6C1C6D">
      <w:pPr>
        <w:autoSpaceDE w:val="0"/>
        <w:autoSpaceDN w:val="0"/>
        <w:adjustRightInd w:val="0"/>
        <w:spacing w:after="160"/>
        <w:contextualSpacing/>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La Entidad consultará las listas publicadas como restrictivas e informativas, mediante el convenio o convenios que suscriba, para los siguientes eventos:</w:t>
      </w:r>
    </w:p>
    <w:p w14:paraId="108B391F">
      <w:pPr>
        <w:autoSpaceDE w:val="0"/>
        <w:autoSpaceDN w:val="0"/>
        <w:adjustRightInd w:val="0"/>
        <w:rPr>
          <w:rFonts w:ascii="Century Gothic" w:hAnsi="Century Gothic" w:cs="Calibri" w:eastAsiaTheme="minorHAnsi"/>
          <w:color w:val="000000"/>
          <w:sz w:val="22"/>
          <w:szCs w:val="22"/>
          <w:lang w:eastAsia="en-US"/>
        </w:rPr>
      </w:pPr>
    </w:p>
    <w:p w14:paraId="481B2497">
      <w:pPr>
        <w:autoSpaceDE w:val="0"/>
        <w:autoSpaceDN w:val="0"/>
        <w:adjustRightInd w:val="0"/>
        <w:spacing w:after="58"/>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 Previo a la vinculación </w:t>
      </w:r>
    </w:p>
    <w:p w14:paraId="545795E3">
      <w:pPr>
        <w:autoSpaceDE w:val="0"/>
        <w:autoSpaceDN w:val="0"/>
        <w:adjustRightInd w:val="0"/>
        <w:spacing w:after="58"/>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 Actualización de información. </w:t>
      </w:r>
    </w:p>
    <w:p w14:paraId="7E22B622">
      <w:pPr>
        <w:autoSpaceDE w:val="0"/>
        <w:autoSpaceDN w:val="0"/>
        <w:adjustRightInd w:val="0"/>
        <w:spacing w:after="58"/>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Suscripción de contratos por compra y venta de productos, bienes o servicios, (de acuerdo al monto establecido para tal fin: superior a 4 S.M.M.L.V.</w:t>
      </w:r>
    </w:p>
    <w:p w14:paraId="14B2288C">
      <w:pPr>
        <w:pStyle w:val="3"/>
        <w:spacing w:after="240"/>
        <w:rPr>
          <w:rFonts w:ascii="Century Gothic" w:hAnsi="Century Gothic"/>
          <w:sz w:val="22"/>
          <w:szCs w:val="22"/>
        </w:rPr>
      </w:pPr>
      <w:bookmarkStart w:id="72" w:name="_Toc333831363"/>
      <w:bookmarkStart w:id="73" w:name="_Toc520611842"/>
      <w:r>
        <w:rPr>
          <w:rFonts w:ascii="Century Gothic" w:hAnsi="Century Gothic"/>
          <w:sz w:val="22"/>
          <w:szCs w:val="22"/>
        </w:rPr>
        <w:t>Política para exoneración de asociados para los reportes de transacciones en efectivo.</w:t>
      </w:r>
      <w:bookmarkEnd w:id="72"/>
      <w:bookmarkEnd w:id="73"/>
      <w:r>
        <w:rPr>
          <w:rFonts w:ascii="Century Gothic" w:hAnsi="Century Gothic"/>
          <w:sz w:val="22"/>
          <w:szCs w:val="22"/>
        </w:rPr>
        <w:t xml:space="preserve"> </w:t>
      </w:r>
    </w:p>
    <w:p w14:paraId="148ADED1">
      <w:pPr>
        <w:pStyle w:val="86"/>
        <w:jc w:val="both"/>
        <w:rPr>
          <w:rFonts w:ascii="Century Gothic" w:hAnsi="Century Gothic"/>
          <w:sz w:val="22"/>
          <w:szCs w:val="22"/>
        </w:rPr>
      </w:pPr>
      <w:r>
        <w:rPr>
          <w:rFonts w:ascii="Century Gothic" w:hAnsi="Century Gothic" w:eastAsia="Calibri"/>
          <w:sz w:val="22"/>
          <w:szCs w:val="22"/>
        </w:rPr>
        <w:t xml:space="preserve">La Entidad, mantendrá como política no exonerar a sus asociados del reporte de transacciones en efectivo y del </w:t>
      </w:r>
      <w:r>
        <w:rPr>
          <w:rFonts w:ascii="Century Gothic" w:hAnsi="Century Gothic"/>
          <w:sz w:val="22"/>
          <w:szCs w:val="22"/>
        </w:rPr>
        <w:t xml:space="preserve">diligenciamiento del formato de origen de fondos por parte del asociado. </w:t>
      </w:r>
    </w:p>
    <w:p w14:paraId="2E92A675">
      <w:pPr>
        <w:pStyle w:val="3"/>
        <w:spacing w:after="240"/>
        <w:rPr>
          <w:rFonts w:ascii="Century Gothic" w:hAnsi="Century Gothic"/>
          <w:sz w:val="22"/>
          <w:szCs w:val="22"/>
        </w:rPr>
      </w:pPr>
      <w:bookmarkStart w:id="74" w:name="_Toc333831364"/>
      <w:bookmarkStart w:id="75" w:name="_Toc520611843"/>
      <w:r>
        <w:rPr>
          <w:rFonts w:ascii="Century Gothic" w:hAnsi="Century Gothic"/>
          <w:sz w:val="22"/>
          <w:szCs w:val="22"/>
        </w:rPr>
        <w:t>Política para nuevos productos y servicios.</w:t>
      </w:r>
      <w:bookmarkEnd w:id="74"/>
      <w:bookmarkEnd w:id="75"/>
      <w:r>
        <w:rPr>
          <w:rFonts w:ascii="Century Gothic" w:hAnsi="Century Gothic"/>
          <w:sz w:val="22"/>
          <w:szCs w:val="22"/>
        </w:rPr>
        <w:t xml:space="preserve"> </w:t>
      </w:r>
    </w:p>
    <w:p w14:paraId="4B08A8A0">
      <w:pPr>
        <w:autoSpaceDE w:val="0"/>
        <w:autoSpaceDN w:val="0"/>
        <w:adjustRightInd w:val="0"/>
        <w:rPr>
          <w:rFonts w:ascii="Century Gothic" w:hAnsi="Century Gothic" w:eastAsia="Calibri" w:cs="Arial"/>
          <w:sz w:val="22"/>
          <w:szCs w:val="22"/>
        </w:rPr>
      </w:pPr>
      <w:r>
        <w:rPr>
          <w:rFonts w:ascii="Century Gothic" w:hAnsi="Century Gothic" w:eastAsia="Calibri" w:cs="Arial"/>
          <w:sz w:val="22"/>
          <w:szCs w:val="22"/>
        </w:rPr>
        <w:t>Cuando la Entidad desarrolle un nuevo producto o servicio que involucre operaciones e impliquen cambios de fondo en los sistemas de control para el LA/FT,  se seguirá el procedimiento que se describe a continuación:</w:t>
      </w:r>
    </w:p>
    <w:p w14:paraId="2639DEF7">
      <w:pPr>
        <w:autoSpaceDE w:val="0"/>
        <w:autoSpaceDN w:val="0"/>
        <w:adjustRightInd w:val="0"/>
        <w:rPr>
          <w:rFonts w:ascii="Century Gothic" w:hAnsi="Century Gothic" w:eastAsia="Calibri" w:cs="Arial"/>
          <w:sz w:val="22"/>
          <w:szCs w:val="22"/>
        </w:rPr>
      </w:pPr>
    </w:p>
    <w:p w14:paraId="152B5F3B">
      <w:pPr>
        <w:pStyle w:val="65"/>
        <w:numPr>
          <w:ilvl w:val="0"/>
          <w:numId w:val="34"/>
        </w:numPr>
        <w:autoSpaceDE w:val="0"/>
        <w:autoSpaceDN w:val="0"/>
        <w:adjustRightInd w:val="0"/>
        <w:rPr>
          <w:rFonts w:ascii="Century Gothic" w:hAnsi="Century Gothic" w:eastAsia="Calibri" w:cs="Arial"/>
          <w:sz w:val="22"/>
          <w:szCs w:val="22"/>
        </w:rPr>
      </w:pPr>
      <w:r>
        <w:rPr>
          <w:rFonts w:ascii="Century Gothic" w:hAnsi="Century Gothic" w:eastAsia="Calibri" w:cs="Arial"/>
          <w:sz w:val="22"/>
          <w:szCs w:val="22"/>
        </w:rPr>
        <w:t>El Consejo de Administración deberá reglamentar el nuevo producto o servicio, con la normatividad legal asociada al mismo.</w:t>
      </w:r>
    </w:p>
    <w:p w14:paraId="3BF1286F">
      <w:pPr>
        <w:pStyle w:val="65"/>
        <w:autoSpaceDE w:val="0"/>
        <w:autoSpaceDN w:val="0"/>
        <w:adjustRightInd w:val="0"/>
        <w:ind w:left="720"/>
        <w:rPr>
          <w:rFonts w:ascii="Century Gothic" w:hAnsi="Century Gothic" w:eastAsia="Calibri" w:cs="Arial"/>
          <w:sz w:val="22"/>
          <w:szCs w:val="22"/>
        </w:rPr>
      </w:pPr>
      <w:r>
        <w:rPr>
          <w:rFonts w:ascii="Century Gothic" w:hAnsi="Century Gothic" w:eastAsia="Calibri" w:cs="Arial"/>
          <w:sz w:val="22"/>
          <w:szCs w:val="22"/>
        </w:rPr>
        <w:t xml:space="preserve"> </w:t>
      </w:r>
    </w:p>
    <w:p w14:paraId="2DA90789">
      <w:pPr>
        <w:pStyle w:val="65"/>
        <w:numPr>
          <w:ilvl w:val="0"/>
          <w:numId w:val="34"/>
        </w:numPr>
        <w:autoSpaceDE w:val="0"/>
        <w:autoSpaceDN w:val="0"/>
        <w:adjustRightInd w:val="0"/>
        <w:rPr>
          <w:rFonts w:ascii="Century Gothic" w:hAnsi="Century Gothic" w:eastAsia="Calibri" w:cs="Arial"/>
          <w:sz w:val="22"/>
          <w:szCs w:val="22"/>
        </w:rPr>
      </w:pPr>
      <w:r>
        <w:rPr>
          <w:rFonts w:ascii="Century Gothic" w:hAnsi="Century Gothic" w:eastAsia="Calibri" w:cs="Arial"/>
          <w:sz w:val="22"/>
          <w:szCs w:val="22"/>
        </w:rPr>
        <w:t xml:space="preserve">El Oficial de Cumplimiento debe evaluar los aspectos relacionados con el SARLAFT, formulando a la administración las recomendaciones sobre los controles a implementar en esta materia. </w:t>
      </w:r>
    </w:p>
    <w:p w14:paraId="4892EB1C">
      <w:pPr>
        <w:pStyle w:val="65"/>
        <w:rPr>
          <w:rFonts w:ascii="Century Gothic" w:hAnsi="Century Gothic" w:eastAsia="Calibri" w:cs="Arial"/>
          <w:sz w:val="22"/>
          <w:szCs w:val="22"/>
        </w:rPr>
      </w:pPr>
    </w:p>
    <w:p w14:paraId="475270EE">
      <w:pPr>
        <w:pStyle w:val="65"/>
        <w:numPr>
          <w:ilvl w:val="0"/>
          <w:numId w:val="34"/>
        </w:numPr>
        <w:autoSpaceDE w:val="0"/>
        <w:autoSpaceDN w:val="0"/>
        <w:adjustRightInd w:val="0"/>
        <w:rPr>
          <w:rFonts w:ascii="Century Gothic" w:hAnsi="Century Gothic" w:eastAsia="Calibri" w:cs="Arial"/>
          <w:sz w:val="22"/>
          <w:szCs w:val="22"/>
        </w:rPr>
      </w:pPr>
      <w:r>
        <w:rPr>
          <w:rFonts w:ascii="Century Gothic" w:hAnsi="Century Gothic" w:eastAsia="Calibri" w:cs="Arial"/>
          <w:sz w:val="22"/>
          <w:szCs w:val="22"/>
        </w:rPr>
        <w:t xml:space="preserve">Una vez evaluado y aprobado el nuevo producto o servicio, el Oficial de Cumplimiento presentará al Consejo de Administración la modificación o adición del Manual SARLAFT, que se derive de ajustes en procedimientos, normas, formatos, alertas, riesgos, etc. </w:t>
      </w:r>
    </w:p>
    <w:p w14:paraId="40C3398C">
      <w:pPr>
        <w:pStyle w:val="3"/>
        <w:spacing w:after="240"/>
        <w:rPr>
          <w:rFonts w:ascii="Century Gothic" w:hAnsi="Century Gothic"/>
          <w:sz w:val="22"/>
          <w:szCs w:val="22"/>
        </w:rPr>
      </w:pPr>
      <w:bookmarkStart w:id="76" w:name="_Toc333831365"/>
      <w:bookmarkStart w:id="77" w:name="_Toc520611844"/>
      <w:r>
        <w:rPr>
          <w:rFonts w:ascii="Century Gothic" w:hAnsi="Century Gothic"/>
          <w:sz w:val="22"/>
          <w:szCs w:val="22"/>
        </w:rPr>
        <w:t>Políticas de conocimiento, segmentación  e identificación de riesgos</w:t>
      </w:r>
      <w:bookmarkEnd w:id="76"/>
      <w:bookmarkEnd w:id="77"/>
      <w:r>
        <w:rPr>
          <w:rFonts w:ascii="Century Gothic" w:hAnsi="Century Gothic"/>
          <w:sz w:val="22"/>
          <w:szCs w:val="22"/>
        </w:rPr>
        <w:t xml:space="preserve"> </w:t>
      </w:r>
    </w:p>
    <w:p w14:paraId="1C837698">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La Entidad identificará, con base en la segmentación que realice, a los asociados de mayor riesgo potencial, especialmente aquellos que manejan recursos públicos, que tengan algún grado de poder público o gozan de reconocimiento público, desarrollando monitoreo de sus transacciones, en razón de su mayor nivel de exposición al lavado de dinero. </w:t>
      </w:r>
    </w:p>
    <w:p w14:paraId="1644A73C">
      <w:pPr>
        <w:autoSpaceDE w:val="0"/>
        <w:autoSpaceDN w:val="0"/>
        <w:adjustRightInd w:val="0"/>
        <w:rPr>
          <w:rFonts w:ascii="Century Gothic" w:hAnsi="Century Gothic" w:cs="Arial" w:eastAsiaTheme="minorHAnsi"/>
          <w:color w:val="000000"/>
          <w:sz w:val="22"/>
          <w:szCs w:val="22"/>
          <w:lang w:eastAsia="en-US"/>
        </w:rPr>
      </w:pPr>
    </w:p>
    <w:p w14:paraId="7A696AAD">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El Oficial de Cumplimiento o la persona responsable alimentarán la base de datos y con la ayuda del aplicativo identificará y  agrupará los asociados según los segmentos definidos.</w:t>
      </w:r>
    </w:p>
    <w:p w14:paraId="1DDF6B18">
      <w:pPr>
        <w:autoSpaceDE w:val="0"/>
        <w:autoSpaceDN w:val="0"/>
        <w:adjustRightInd w:val="0"/>
        <w:rPr>
          <w:rFonts w:ascii="Century Gothic" w:hAnsi="Century Gothic" w:cs="Arial" w:eastAsiaTheme="minorHAnsi"/>
          <w:color w:val="000000"/>
          <w:sz w:val="22"/>
          <w:szCs w:val="22"/>
          <w:lang w:eastAsia="en-US"/>
        </w:rPr>
      </w:pPr>
    </w:p>
    <w:p w14:paraId="41E9159D">
      <w:pPr>
        <w:pStyle w:val="4"/>
        <w:numPr>
          <w:ilvl w:val="2"/>
          <w:numId w:val="8"/>
        </w:numPr>
        <w:rPr>
          <w:rFonts w:ascii="Century Gothic" w:hAnsi="Century Gothic"/>
          <w:sz w:val="22"/>
          <w:szCs w:val="22"/>
          <w:lang w:val="es-ES"/>
        </w:rPr>
      </w:pPr>
      <w:bookmarkStart w:id="78" w:name="_Toc366772949"/>
      <w:bookmarkStart w:id="79" w:name="_Toc366773016"/>
      <w:bookmarkStart w:id="80" w:name="_Toc367950349"/>
      <w:bookmarkStart w:id="81" w:name="_Toc367975112"/>
      <w:bookmarkStart w:id="82" w:name="_Toc367949809"/>
      <w:bookmarkStart w:id="83" w:name="_Toc366773077"/>
      <w:bookmarkStart w:id="84" w:name="_Toc367082394"/>
      <w:bookmarkStart w:id="85" w:name="_Toc443895688"/>
      <w:bookmarkStart w:id="86" w:name="_Toc367082278"/>
      <w:bookmarkStart w:id="87" w:name="_Toc367082217"/>
      <w:bookmarkStart w:id="88" w:name="_Toc367974427"/>
      <w:bookmarkStart w:id="89" w:name="_Toc367082333"/>
      <w:bookmarkStart w:id="90" w:name="_Toc367082153"/>
      <w:r>
        <w:rPr>
          <w:rFonts w:ascii="Century Gothic" w:hAnsi="Century Gothic"/>
          <w:sz w:val="22"/>
          <w:szCs w:val="22"/>
          <w:lang w:val="es-ES"/>
        </w:rPr>
        <w:t xml:space="preserve"> PROCEDIMIENTOS</w:t>
      </w:r>
      <w:bookmarkEnd w:id="78"/>
      <w:bookmarkEnd w:id="79"/>
      <w:bookmarkEnd w:id="80"/>
      <w:bookmarkEnd w:id="81"/>
      <w:bookmarkEnd w:id="82"/>
      <w:bookmarkEnd w:id="83"/>
      <w:bookmarkEnd w:id="84"/>
      <w:bookmarkEnd w:id="85"/>
      <w:bookmarkEnd w:id="86"/>
      <w:bookmarkEnd w:id="87"/>
      <w:bookmarkEnd w:id="88"/>
      <w:bookmarkEnd w:id="89"/>
      <w:bookmarkEnd w:id="90"/>
    </w:p>
    <w:p w14:paraId="6AD8E53E">
      <w:pPr>
        <w:rPr>
          <w:rFonts w:ascii="Century Gothic" w:hAnsi="Century Gothic" w:cs="Arial"/>
          <w:sz w:val="22"/>
          <w:szCs w:val="22"/>
          <w:lang w:val="es-ES"/>
        </w:rPr>
      </w:pPr>
    </w:p>
    <w:p w14:paraId="5E5FCF2D">
      <w:pPr>
        <w:rPr>
          <w:rFonts w:ascii="Century Gothic" w:hAnsi="Century Gothic" w:eastAsia="SymbolMT" w:cs="Arial"/>
          <w:sz w:val="22"/>
          <w:szCs w:val="22"/>
          <w:lang w:eastAsia="es-CO"/>
        </w:rPr>
      </w:pPr>
      <w:r>
        <w:rPr>
          <w:rFonts w:ascii="Century Gothic" w:hAnsi="Century Gothic" w:cs="Arial"/>
          <w:sz w:val="22"/>
          <w:szCs w:val="22"/>
          <w:lang w:val="es-ES"/>
        </w:rPr>
        <w:t xml:space="preserve">Corresponde al conjunto de directrices y requisitos básicos que la entidad implementará y documentará, </w:t>
      </w:r>
      <w:r>
        <w:rPr>
          <w:rFonts w:ascii="Century Gothic" w:hAnsi="Century Gothic" w:eastAsia="SymbolMT" w:cs="Arial"/>
          <w:sz w:val="22"/>
          <w:szCs w:val="22"/>
          <w:lang w:eastAsia="es-CO"/>
        </w:rPr>
        <w:t>teniendo en cuenta la ejecución y control que permita la implementación y funcionamiento de los elementos de SARLAFT, fundamentados en la naturaleza de la entidad y el curso de su objeto social. Se identifican:</w:t>
      </w:r>
    </w:p>
    <w:p w14:paraId="1C9BE26B">
      <w:pPr>
        <w:rPr>
          <w:rFonts w:ascii="Century Gothic" w:hAnsi="Century Gothic" w:eastAsia="SymbolMT" w:cs="Arial"/>
          <w:sz w:val="22"/>
          <w:szCs w:val="22"/>
          <w:lang w:eastAsia="es-CO"/>
        </w:rPr>
      </w:pPr>
    </w:p>
    <w:p w14:paraId="2349DA05">
      <w:pPr>
        <w:pStyle w:val="65"/>
        <w:numPr>
          <w:ilvl w:val="3"/>
          <w:numId w:val="8"/>
        </w:numPr>
        <w:rPr>
          <w:rFonts w:ascii="Century Gothic" w:hAnsi="Century Gothic" w:eastAsia="SymbolMT" w:cs="Arial"/>
          <w:b/>
          <w:sz w:val="22"/>
          <w:szCs w:val="22"/>
          <w:lang w:eastAsia="es-CO"/>
        </w:rPr>
      </w:pPr>
      <w:r>
        <w:rPr>
          <w:rFonts w:ascii="Century Gothic" w:hAnsi="Century Gothic" w:eastAsia="SymbolMT" w:cs="Arial"/>
          <w:b/>
          <w:sz w:val="22"/>
          <w:szCs w:val="22"/>
          <w:lang w:eastAsia="es-CO"/>
        </w:rPr>
        <w:t>PROCEDIMIENTOS ESPECIALES</w:t>
      </w:r>
    </w:p>
    <w:p w14:paraId="633DBFAA">
      <w:pPr>
        <w:jc w:val="center"/>
        <w:rPr>
          <w:rFonts w:ascii="Century Gothic" w:hAnsi="Century Gothic"/>
          <w:sz w:val="22"/>
          <w:szCs w:val="22"/>
          <w:lang w:val="es-ES"/>
        </w:rPr>
      </w:pPr>
    </w:p>
    <w:p w14:paraId="52EED265">
      <w:p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Personas Expuestas Públicamente (PEP)</w:t>
      </w:r>
    </w:p>
    <w:p w14:paraId="2F0A4D46">
      <w:pPr>
        <w:autoSpaceDE w:val="0"/>
        <w:autoSpaceDN w:val="0"/>
        <w:adjustRightInd w:val="0"/>
        <w:rPr>
          <w:rFonts w:ascii="Century Gothic" w:hAnsi="Century Gothic" w:cs="Arial"/>
          <w:bCs/>
          <w:sz w:val="22"/>
          <w:szCs w:val="22"/>
          <w:lang w:eastAsia="es-CO"/>
        </w:rPr>
      </w:pPr>
    </w:p>
    <w:p w14:paraId="39435571">
      <w:pPr>
        <w:autoSpaceDE w:val="0"/>
        <w:autoSpaceDN w:val="0"/>
        <w:adjustRightInd w:val="0"/>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La Entidad definió procedimientos vinculación y conocimiento de personas nacionales o extranjeras, ya sea a título de asociado, o relacionados contractuales que por razón de su cargo manejen recursos públicos o tengan poder de disposición sobre estos, y que se las haya confiado un función pública prominente en una organización internacional o del estado, o gocen de reconocimiento público y puedan exponer en mayor grado a la organización solidaria al riesgo de LA/FT.</w:t>
      </w:r>
    </w:p>
    <w:p w14:paraId="67318FD0">
      <w:pPr>
        <w:pStyle w:val="86"/>
        <w:rPr>
          <w:lang w:val="es-MX" w:eastAsia="es-CO"/>
        </w:rPr>
      </w:pPr>
    </w:p>
    <w:p w14:paraId="73670E81">
      <w:pPr>
        <w:rPr>
          <w:rFonts w:ascii="Century Gothic" w:hAnsi="Century Gothic"/>
          <w:sz w:val="22"/>
          <w:szCs w:val="22"/>
          <w:lang w:val="es-ES"/>
        </w:rPr>
      </w:pPr>
      <w:r>
        <w:rPr>
          <w:rFonts w:ascii="Century Gothic" w:hAnsi="Century Gothic" w:cs="ITC Franklin Gothic Std Book"/>
          <w:color w:val="000000"/>
          <w:sz w:val="22"/>
          <w:szCs w:val="22"/>
        </w:rPr>
        <w:t>Se deben tener en cuenta los siguientes aspectos:</w:t>
      </w:r>
    </w:p>
    <w:p w14:paraId="53A452F0">
      <w:pPr>
        <w:rPr>
          <w:rFonts w:ascii="Century Gothic" w:hAnsi="Century Gothic" w:cs="Arial"/>
          <w:sz w:val="22"/>
          <w:szCs w:val="22"/>
          <w:lang w:eastAsia="es-CO"/>
        </w:rPr>
      </w:pPr>
    </w:p>
    <w:p w14:paraId="620EA690">
      <w:pPr>
        <w:widowControl w:val="0"/>
        <w:autoSpaceDE w:val="0"/>
        <w:autoSpaceDN w:val="0"/>
        <w:adjustRightInd w:val="0"/>
        <w:spacing w:after="12" w:line="60" w:lineRule="exact"/>
        <w:rPr>
          <w:rFonts w:ascii="Century Gothic" w:hAnsi="Century Gothic" w:cs="Arial" w:eastAsiaTheme="minorHAnsi"/>
          <w:color w:val="000000"/>
          <w:sz w:val="22"/>
          <w:szCs w:val="22"/>
          <w:lang w:eastAsia="en-US"/>
        </w:rPr>
      </w:pPr>
    </w:p>
    <w:p w14:paraId="6718D94C">
      <w:pPr>
        <w:widowControl w:val="0"/>
        <w:autoSpaceDE w:val="0"/>
        <w:autoSpaceDN w:val="0"/>
        <w:adjustRightInd w:val="0"/>
        <w:ind w:right="-2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a. Quienes por razón de su cargo manejan recursos públicos – PMRP.</w:t>
      </w:r>
    </w:p>
    <w:p w14:paraId="3F552388">
      <w:pPr>
        <w:widowControl w:val="0"/>
        <w:autoSpaceDE w:val="0"/>
        <w:autoSpaceDN w:val="0"/>
        <w:adjustRightInd w:val="0"/>
        <w:spacing w:after="16" w:line="20" w:lineRule="exact"/>
        <w:rPr>
          <w:rFonts w:ascii="Century Gothic" w:hAnsi="Century Gothic" w:cs="Arial" w:eastAsiaTheme="minorHAnsi"/>
          <w:color w:val="000000"/>
          <w:sz w:val="22"/>
          <w:szCs w:val="22"/>
          <w:lang w:eastAsia="en-US"/>
        </w:rPr>
      </w:pPr>
    </w:p>
    <w:p w14:paraId="4040F9F7">
      <w:pPr>
        <w:pStyle w:val="65"/>
        <w:widowControl w:val="0"/>
        <w:numPr>
          <w:ilvl w:val="0"/>
          <w:numId w:val="35"/>
        </w:numPr>
        <w:autoSpaceDE w:val="0"/>
        <w:autoSpaceDN w:val="0"/>
        <w:adjustRightInd w:val="0"/>
        <w:spacing w:line="247" w:lineRule="auto"/>
        <w:ind w:right="-2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Recursos Públicos: Se entiende por recursos públicos todo bien que hace parte del patrimonio del Estado, manejar: Es “Gobernar, dirigir”.</w:t>
      </w:r>
    </w:p>
    <w:p w14:paraId="17C23F3E">
      <w:pPr>
        <w:pStyle w:val="65"/>
        <w:widowControl w:val="0"/>
        <w:autoSpaceDE w:val="0"/>
        <w:autoSpaceDN w:val="0"/>
        <w:adjustRightInd w:val="0"/>
        <w:spacing w:line="240" w:lineRule="exact"/>
        <w:ind w:left="720"/>
        <w:rPr>
          <w:rFonts w:ascii="Century Gothic" w:hAnsi="Century Gothic" w:cs="Arial" w:eastAsiaTheme="minorHAnsi"/>
          <w:color w:val="000000"/>
          <w:sz w:val="22"/>
          <w:szCs w:val="22"/>
          <w:lang w:val="es-CO" w:eastAsia="en-US"/>
        </w:rPr>
      </w:pPr>
    </w:p>
    <w:p w14:paraId="1200DE15">
      <w:pPr>
        <w:pStyle w:val="65"/>
        <w:widowControl w:val="0"/>
        <w:autoSpaceDE w:val="0"/>
        <w:autoSpaceDN w:val="0"/>
        <w:adjustRightInd w:val="0"/>
        <w:spacing w:after="3" w:line="40" w:lineRule="exact"/>
        <w:ind w:left="720"/>
        <w:rPr>
          <w:rFonts w:ascii="Century Gothic" w:hAnsi="Century Gothic" w:cs="Arial" w:eastAsiaTheme="minorHAnsi"/>
          <w:color w:val="000000"/>
          <w:sz w:val="22"/>
          <w:szCs w:val="22"/>
          <w:lang w:val="es-CO" w:eastAsia="en-US"/>
        </w:rPr>
      </w:pPr>
    </w:p>
    <w:p w14:paraId="465473B7">
      <w:pPr>
        <w:widowControl w:val="0"/>
        <w:autoSpaceDE w:val="0"/>
        <w:autoSpaceDN w:val="0"/>
        <w:adjustRightInd w:val="0"/>
        <w:ind w:right="-2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b. Tengan  algún grado de poder público – Personas Expuestas Políticamente- PEP</w:t>
      </w:r>
    </w:p>
    <w:p w14:paraId="30E81424">
      <w:pPr>
        <w:pStyle w:val="65"/>
        <w:widowControl w:val="0"/>
        <w:autoSpaceDE w:val="0"/>
        <w:autoSpaceDN w:val="0"/>
        <w:adjustRightInd w:val="0"/>
        <w:spacing w:after="16" w:line="20" w:lineRule="exact"/>
        <w:ind w:left="720"/>
        <w:rPr>
          <w:rFonts w:ascii="Century Gothic" w:hAnsi="Century Gothic" w:cs="Arial" w:eastAsiaTheme="minorHAnsi"/>
          <w:color w:val="000000"/>
          <w:sz w:val="22"/>
          <w:szCs w:val="22"/>
          <w:lang w:val="es-CO" w:eastAsia="en-US"/>
        </w:rPr>
      </w:pPr>
    </w:p>
    <w:p w14:paraId="525968B1">
      <w:pPr>
        <w:pStyle w:val="65"/>
        <w:widowControl w:val="0"/>
        <w:numPr>
          <w:ilvl w:val="0"/>
          <w:numId w:val="36"/>
        </w:numPr>
        <w:autoSpaceDE w:val="0"/>
        <w:autoSpaceDN w:val="0"/>
        <w:adjustRightInd w:val="0"/>
        <w:spacing w:line="247" w:lineRule="auto"/>
        <w:ind w:right="-92"/>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Poder Público: Es el conjunto de las autoridades que gobiernan un Estado. Grado: Es cada lugar de la escala en la jerarquía de una institución.</w:t>
      </w:r>
    </w:p>
    <w:p w14:paraId="4B12304E">
      <w:pPr>
        <w:pStyle w:val="65"/>
        <w:widowControl w:val="0"/>
        <w:autoSpaceDE w:val="0"/>
        <w:autoSpaceDN w:val="0"/>
        <w:adjustRightInd w:val="0"/>
        <w:spacing w:line="240" w:lineRule="exact"/>
        <w:ind w:left="720"/>
        <w:rPr>
          <w:rFonts w:ascii="Century Gothic" w:hAnsi="Century Gothic" w:cs="Arial" w:eastAsiaTheme="minorHAnsi"/>
          <w:color w:val="000000"/>
          <w:sz w:val="22"/>
          <w:szCs w:val="22"/>
          <w:lang w:val="es-CO" w:eastAsia="en-US"/>
        </w:rPr>
      </w:pPr>
    </w:p>
    <w:p w14:paraId="13D410A8">
      <w:pPr>
        <w:pStyle w:val="65"/>
        <w:widowControl w:val="0"/>
        <w:autoSpaceDE w:val="0"/>
        <w:autoSpaceDN w:val="0"/>
        <w:adjustRightInd w:val="0"/>
        <w:spacing w:after="11" w:line="60" w:lineRule="exact"/>
        <w:ind w:left="720"/>
        <w:rPr>
          <w:rFonts w:ascii="Century Gothic" w:hAnsi="Century Gothic" w:cs="Arial" w:eastAsiaTheme="minorHAnsi"/>
          <w:color w:val="000000"/>
          <w:sz w:val="22"/>
          <w:szCs w:val="22"/>
          <w:lang w:val="es-CO" w:eastAsia="en-US"/>
        </w:rPr>
      </w:pPr>
    </w:p>
    <w:p w14:paraId="498FBB39">
      <w:pPr>
        <w:widowControl w:val="0"/>
        <w:autoSpaceDE w:val="0"/>
        <w:autoSpaceDN w:val="0"/>
        <w:adjustRightInd w:val="0"/>
        <w:ind w:right="-2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c. Gozan de Reconocimiento Público - PRP</w:t>
      </w:r>
    </w:p>
    <w:p w14:paraId="2A0E4A68">
      <w:pPr>
        <w:pStyle w:val="65"/>
        <w:widowControl w:val="0"/>
        <w:autoSpaceDE w:val="0"/>
        <w:autoSpaceDN w:val="0"/>
        <w:adjustRightInd w:val="0"/>
        <w:spacing w:after="16" w:line="20" w:lineRule="exact"/>
        <w:ind w:left="720"/>
        <w:rPr>
          <w:rFonts w:ascii="Century Gothic" w:hAnsi="Century Gothic" w:cs="Arial" w:eastAsiaTheme="minorHAnsi"/>
          <w:color w:val="000000"/>
          <w:sz w:val="22"/>
          <w:szCs w:val="22"/>
          <w:lang w:val="es-CO" w:eastAsia="en-US"/>
        </w:rPr>
      </w:pPr>
    </w:p>
    <w:p w14:paraId="01494350">
      <w:pPr>
        <w:pStyle w:val="65"/>
        <w:widowControl w:val="0"/>
        <w:numPr>
          <w:ilvl w:val="0"/>
          <w:numId w:val="37"/>
        </w:numPr>
        <w:autoSpaceDE w:val="0"/>
        <w:autoSpaceDN w:val="0"/>
        <w:adjustRightInd w:val="0"/>
        <w:spacing w:line="247" w:lineRule="auto"/>
        <w:ind w:right="783"/>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Reconocer: Es acatar como legitima la autoridad o superioridad de alguien o cualquier otra de sus cualidades.</w:t>
      </w:r>
    </w:p>
    <w:p w14:paraId="72A80B22">
      <w:pPr>
        <w:pStyle w:val="65"/>
        <w:widowControl w:val="0"/>
        <w:autoSpaceDE w:val="0"/>
        <w:autoSpaceDN w:val="0"/>
        <w:adjustRightInd w:val="0"/>
        <w:spacing w:after="7" w:line="20" w:lineRule="exact"/>
        <w:ind w:left="720"/>
        <w:rPr>
          <w:rFonts w:ascii="Century Gothic" w:hAnsi="Century Gothic" w:cs="Arial" w:eastAsiaTheme="minorHAnsi"/>
          <w:color w:val="000000"/>
          <w:sz w:val="22"/>
          <w:szCs w:val="22"/>
          <w:lang w:val="es-CO" w:eastAsia="en-US"/>
        </w:rPr>
      </w:pPr>
    </w:p>
    <w:p w14:paraId="33C00499">
      <w:pPr>
        <w:pStyle w:val="65"/>
        <w:widowControl w:val="0"/>
        <w:numPr>
          <w:ilvl w:val="0"/>
          <w:numId w:val="37"/>
        </w:numPr>
        <w:autoSpaceDE w:val="0"/>
        <w:autoSpaceDN w:val="0"/>
        <w:adjustRightInd w:val="0"/>
        <w:spacing w:after="16" w:line="20" w:lineRule="exact"/>
        <w:rPr>
          <w:rFonts w:ascii="Century Gothic" w:hAnsi="Century Gothic" w:cs="Arial" w:eastAsiaTheme="minorHAnsi"/>
          <w:color w:val="000000"/>
          <w:sz w:val="22"/>
          <w:szCs w:val="22"/>
          <w:lang w:val="es-CO" w:eastAsia="en-US"/>
        </w:rPr>
      </w:pPr>
    </w:p>
    <w:p w14:paraId="687D4084">
      <w:pPr>
        <w:autoSpaceDE w:val="0"/>
        <w:autoSpaceDN w:val="0"/>
        <w:adjustRightInd w:val="0"/>
        <w:rPr>
          <w:rFonts w:ascii="Century Gothic" w:hAnsi="Century Gothic" w:cs="Arial" w:eastAsiaTheme="minorHAnsi"/>
          <w:sz w:val="22"/>
          <w:szCs w:val="22"/>
          <w:lang w:val="es-MX" w:eastAsia="en-US"/>
        </w:rPr>
      </w:pPr>
    </w:p>
    <w:p w14:paraId="2820E71D">
      <w:pPr>
        <w:pStyle w:val="65"/>
        <w:numPr>
          <w:ilvl w:val="0"/>
          <w:numId w:val="38"/>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Dentro de las Personas Expuestas Públicamente, será obligatorio considerar los cargos y demás disposiciones establecidas en el Decreto 1674 de 2016, esto es:</w:t>
      </w:r>
    </w:p>
    <w:p w14:paraId="114F113D">
      <w:pPr>
        <w:autoSpaceDE w:val="0"/>
        <w:autoSpaceDN w:val="0"/>
        <w:adjustRightInd w:val="0"/>
        <w:rPr>
          <w:rFonts w:ascii="Century Gothic" w:hAnsi="Century Gothic" w:cs="Arial"/>
          <w:sz w:val="22"/>
          <w:szCs w:val="22"/>
          <w:lang w:eastAsia="es-CO"/>
        </w:rPr>
      </w:pPr>
    </w:p>
    <w:p w14:paraId="21551280">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Presidente la República, Vicepresidente la República, altos consejeros, director del Departamento Administrativo de la Presidencia la República, ministros y viceministros. </w:t>
      </w:r>
    </w:p>
    <w:p w14:paraId="57B37AF6">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Secretarios Generales, Tesoreros, Directores Financieros de los Ministerios, los Departamentos Administrativos y las Superintendencias </w:t>
      </w:r>
    </w:p>
    <w:p w14:paraId="1B810DA1">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Presidentes, Directores, Tesoreros, Directores Financieros de los Establecimientos Públicos, Unidades Administrativas Especiales, las Empresas Públicas de Servicios Públicos Domiciliarios, las Empresas Sociales del Estado, las Empresas Industriales y Comerciales del Estado y las Sociedades de Economía Mixta. </w:t>
      </w:r>
    </w:p>
    <w:p w14:paraId="40F4A04C">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Superintendentes y Superintendentes Delegados.</w:t>
      </w:r>
    </w:p>
    <w:p w14:paraId="03B6500A">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Generales de las Fuerzas Militares y de la Policía Nacional, e Inspectores de la Policía Nacional. </w:t>
      </w:r>
    </w:p>
    <w:p w14:paraId="04294D9A">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Gobernadores, Alcaldes, Diputados, Concejales, Tesoreros, Directores Financieros y Secretarios Generales, gobernaciones, alcaldías, concejos municipales y distritales y asambleas departamentales.</w:t>
      </w:r>
    </w:p>
    <w:p w14:paraId="3F92C8BD">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Senadores, Representantes a la Cámara, secretarios de las comisiones constitucionales permanentes del Congreso de la República y Directores Administrativos del Senado y de la Cámara Representantes. </w:t>
      </w:r>
    </w:p>
    <w:p w14:paraId="7D2BD28C">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Directores de las Corporaciones Autónomas Regionales.</w:t>
      </w:r>
    </w:p>
    <w:p w14:paraId="1539478A">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Comisionados Nacionales del Servicio Civil, Comisionados de la Autoridad Nacional de Televisión, la Comisión de Regulación de Energía y de la Comisión de Regulación de Agua Potable y Saneamiento Básico y la Comisión de Regulación de Comunicaciones. </w:t>
      </w:r>
    </w:p>
    <w:p w14:paraId="517A2437">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Magistrados, Magistrados Auxiliares y Consejeros de Tribunales y Altas Cortes, jueces de la república, Fiscal General de la Nación, Vice General de la Nación, Director de Fiscalías Nacionales, Director Nacional de Secciona les y Seguridad Ciudadana. </w:t>
      </w:r>
    </w:p>
    <w:p w14:paraId="55CC3CD4">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Contralor General de la República, Vicecontralor, Contralores Delegados, Contralores territoriales, Contador, Procurador General de la Nación, Viceprocurador General la Nación, Procuradores Delegados, Defensor del Pueblo, Vice Defensor del Pueblo, Defensores Delegados y Auditor General de República</w:t>
      </w:r>
    </w:p>
    <w:p w14:paraId="17466B9B">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Consejeros del Consejo Nacional Electoral, Registrador Nacional del Estado Civil y Registradores Delegados. </w:t>
      </w:r>
    </w:p>
    <w:p w14:paraId="039AE3F1">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Representantes legales, presidentes, directores y partidos y movimientos políticos, y otras formas de asociación política reconocidas por la ley. </w:t>
      </w:r>
    </w:p>
    <w:p w14:paraId="682744BA">
      <w:pPr>
        <w:pStyle w:val="65"/>
        <w:numPr>
          <w:ilvl w:val="0"/>
          <w:numId w:val="39"/>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Los directores y tesoreros de patrimonios autónomos o fideicomisos que administren recursos públicos.</w:t>
      </w:r>
    </w:p>
    <w:p w14:paraId="45848BE8">
      <w:pPr>
        <w:autoSpaceDE w:val="0"/>
        <w:autoSpaceDN w:val="0"/>
        <w:adjustRightInd w:val="0"/>
        <w:rPr>
          <w:rFonts w:ascii="Century Gothic" w:hAnsi="Century Gothic" w:cs="Arial" w:eastAsiaTheme="minorHAnsi"/>
          <w:sz w:val="22"/>
          <w:szCs w:val="22"/>
          <w:lang w:val="es-MX" w:eastAsia="en-US"/>
        </w:rPr>
      </w:pPr>
    </w:p>
    <w:p w14:paraId="08F8122F">
      <w:pPr>
        <w:pStyle w:val="92"/>
        <w:numPr>
          <w:ilvl w:val="0"/>
          <w:numId w:val="38"/>
        </w:numPr>
        <w:spacing w:after="160"/>
        <w:jc w:val="both"/>
        <w:rPr>
          <w:rFonts w:ascii="Century Gothic" w:hAnsi="Century Gothic" w:cs="ITC Franklin Gothic Std Book"/>
          <w:color w:val="000000"/>
          <w:sz w:val="22"/>
          <w:szCs w:val="22"/>
        </w:rPr>
      </w:pPr>
      <w:r>
        <w:rPr>
          <w:rFonts w:ascii="Century Gothic" w:hAnsi="Century Gothic" w:cs="ITC Franklin Gothic Std Book"/>
          <w:color w:val="000000"/>
          <w:sz w:val="22"/>
          <w:szCs w:val="22"/>
        </w:rPr>
        <w:t>También se pueden considerar como PEP aquellas personas que gozan de un am</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plio reconocimiento en la comunidad por su actividad, relación con la comunidad o alguna destreza especial. Algunos ejemplos de personas con reconocimiento pú</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 xml:space="preserve">blico podrían ser los siguientes: </w:t>
      </w:r>
    </w:p>
    <w:p w14:paraId="2FDE52D1">
      <w:pPr>
        <w:pStyle w:val="86"/>
        <w:numPr>
          <w:ilvl w:val="0"/>
          <w:numId w:val="40"/>
        </w:numPr>
        <w:contextualSpacing/>
        <w:jc w:val="both"/>
        <w:rPr>
          <w:rFonts w:ascii="Century Gothic" w:hAnsi="Century Gothic"/>
          <w:sz w:val="22"/>
          <w:szCs w:val="22"/>
        </w:rPr>
      </w:pPr>
      <w:r>
        <w:rPr>
          <w:rFonts w:ascii="Century Gothic" w:hAnsi="Century Gothic"/>
          <w:sz w:val="22"/>
          <w:szCs w:val="22"/>
        </w:rPr>
        <w:t>La política (Miembros de partidos políticos).</w:t>
      </w:r>
    </w:p>
    <w:p w14:paraId="7F1BE92C">
      <w:pPr>
        <w:pStyle w:val="86"/>
        <w:numPr>
          <w:ilvl w:val="0"/>
          <w:numId w:val="40"/>
        </w:numPr>
        <w:spacing w:after="125"/>
        <w:contextualSpacing/>
        <w:jc w:val="both"/>
        <w:rPr>
          <w:rFonts w:ascii="Century Gothic" w:hAnsi="Century Gothic"/>
          <w:sz w:val="22"/>
          <w:szCs w:val="22"/>
        </w:rPr>
      </w:pPr>
      <w:r>
        <w:rPr>
          <w:rFonts w:ascii="Century Gothic" w:hAnsi="Century Gothic"/>
          <w:sz w:val="22"/>
          <w:szCs w:val="22"/>
        </w:rPr>
        <w:t xml:space="preserve">Las artes (Incluidos dentro de éstas, los representantes significativos de las diferentes manifestaciones culturales como la actuación, la pintura, la escultura, la escritura, etc.). </w:t>
      </w:r>
    </w:p>
    <w:p w14:paraId="6CCD4799">
      <w:pPr>
        <w:pStyle w:val="86"/>
        <w:numPr>
          <w:ilvl w:val="0"/>
          <w:numId w:val="40"/>
        </w:numPr>
        <w:spacing w:after="125"/>
        <w:contextualSpacing/>
        <w:jc w:val="both"/>
        <w:rPr>
          <w:rFonts w:ascii="Century Gothic" w:hAnsi="Century Gothic"/>
          <w:sz w:val="22"/>
          <w:szCs w:val="22"/>
        </w:rPr>
      </w:pPr>
      <w:r>
        <w:rPr>
          <w:rFonts w:ascii="Century Gothic" w:hAnsi="Century Gothic"/>
          <w:sz w:val="22"/>
          <w:szCs w:val="22"/>
        </w:rPr>
        <w:t>La farándula (Modelos, reinas de belleza, presentadores de televisión, diseña</w:t>
      </w:r>
      <w:r>
        <w:rPr>
          <w:rFonts w:ascii="Century Gothic" w:hAnsi="Century Gothic"/>
          <w:sz w:val="22"/>
          <w:szCs w:val="22"/>
        </w:rPr>
        <w:softHyphen/>
      </w:r>
      <w:r>
        <w:rPr>
          <w:rFonts w:ascii="Century Gothic" w:hAnsi="Century Gothic"/>
          <w:sz w:val="22"/>
          <w:szCs w:val="22"/>
        </w:rPr>
        <w:t xml:space="preserve">dores, estilistas, etc.). </w:t>
      </w:r>
    </w:p>
    <w:p w14:paraId="1A40BA49">
      <w:pPr>
        <w:pStyle w:val="86"/>
        <w:numPr>
          <w:ilvl w:val="0"/>
          <w:numId w:val="40"/>
        </w:numPr>
        <w:spacing w:after="125"/>
        <w:contextualSpacing/>
        <w:jc w:val="both"/>
        <w:rPr>
          <w:rFonts w:ascii="Century Gothic" w:hAnsi="Century Gothic"/>
          <w:sz w:val="22"/>
          <w:szCs w:val="22"/>
        </w:rPr>
      </w:pPr>
      <w:r>
        <w:rPr>
          <w:rFonts w:ascii="Century Gothic" w:hAnsi="Century Gothic"/>
          <w:sz w:val="22"/>
          <w:szCs w:val="22"/>
        </w:rPr>
        <w:t xml:space="preserve">El deporte. </w:t>
      </w:r>
    </w:p>
    <w:p w14:paraId="4037462E">
      <w:pPr>
        <w:pStyle w:val="86"/>
        <w:numPr>
          <w:ilvl w:val="0"/>
          <w:numId w:val="40"/>
        </w:numPr>
        <w:spacing w:after="125"/>
        <w:contextualSpacing/>
        <w:jc w:val="both"/>
        <w:rPr>
          <w:rFonts w:ascii="Century Gothic" w:hAnsi="Century Gothic"/>
          <w:sz w:val="22"/>
          <w:szCs w:val="22"/>
        </w:rPr>
      </w:pPr>
      <w:r>
        <w:rPr>
          <w:rFonts w:ascii="Century Gothic" w:hAnsi="Century Gothic"/>
          <w:sz w:val="22"/>
          <w:szCs w:val="22"/>
        </w:rPr>
        <w:t xml:space="preserve">Las ciencias. </w:t>
      </w:r>
    </w:p>
    <w:p w14:paraId="238C2D60">
      <w:pPr>
        <w:pStyle w:val="86"/>
        <w:numPr>
          <w:ilvl w:val="0"/>
          <w:numId w:val="40"/>
        </w:numPr>
        <w:contextualSpacing/>
        <w:jc w:val="both"/>
        <w:rPr>
          <w:rFonts w:ascii="Century Gothic" w:hAnsi="Century Gothic"/>
          <w:sz w:val="22"/>
          <w:szCs w:val="22"/>
        </w:rPr>
      </w:pPr>
      <w:r>
        <w:rPr>
          <w:rFonts w:ascii="Century Gothic" w:hAnsi="Century Gothic"/>
          <w:sz w:val="22"/>
          <w:szCs w:val="22"/>
        </w:rPr>
        <w:t xml:space="preserve">Representantes de organizaciones religiosas. </w:t>
      </w:r>
    </w:p>
    <w:p w14:paraId="53B58D79">
      <w:pPr>
        <w:rPr>
          <w:rFonts w:ascii="Century Gothic" w:hAnsi="Century Gothic" w:cs="Arial" w:eastAsiaTheme="minorHAnsi"/>
          <w:sz w:val="22"/>
          <w:szCs w:val="22"/>
          <w:lang w:val="es-MX" w:eastAsia="en-US"/>
        </w:rPr>
      </w:pPr>
    </w:p>
    <w:p w14:paraId="77012D60">
      <w:pPr>
        <w:pStyle w:val="65"/>
        <w:numPr>
          <w:ilvl w:val="0"/>
          <w:numId w:val="38"/>
        </w:numPr>
        <w:autoSpaceDE w:val="0"/>
        <w:autoSpaceDN w:val="0"/>
        <w:adjustRightInd w:val="0"/>
        <w:rPr>
          <w:rFonts w:ascii="Century Gothic" w:hAnsi="Century Gothic" w:cs="Arial" w:eastAsiaTheme="minorHAnsi"/>
          <w:color w:val="000000" w:themeColor="text1"/>
          <w:sz w:val="22"/>
          <w:szCs w:val="22"/>
          <w:lang w:val="es-MX" w:eastAsia="en-US"/>
          <w14:textFill>
            <w14:solidFill>
              <w14:schemeClr w14:val="tx1"/>
            </w14:solidFill>
          </w14:textFill>
        </w:rPr>
      </w:pPr>
      <w:r>
        <w:rPr>
          <w:rFonts w:ascii="Century Gothic" w:hAnsi="Century Gothic" w:cs="Arial" w:eastAsiaTheme="minorHAnsi"/>
          <w:color w:val="000000" w:themeColor="text1"/>
          <w:sz w:val="22"/>
          <w:szCs w:val="22"/>
          <w:lang w:val="es-MX" w:eastAsia="en-US"/>
          <w14:textFill>
            <w14:solidFill>
              <w14:schemeClr w14:val="tx1"/>
            </w14:solidFill>
          </w14:textFill>
        </w:rPr>
        <w:t>Adicionalmente, esta definición y procedimiento se extiende a los cónyuges o compañeros permanentes, y a los familiares de las PEP, hasta el segundo grado de consanguinidad o afinidad.</w:t>
      </w:r>
    </w:p>
    <w:p w14:paraId="0336B497">
      <w:pPr>
        <w:pStyle w:val="65"/>
        <w:autoSpaceDE w:val="0"/>
        <w:autoSpaceDN w:val="0"/>
        <w:adjustRightInd w:val="0"/>
        <w:ind w:left="1080"/>
        <w:rPr>
          <w:rFonts w:ascii="Century Gothic" w:hAnsi="Century Gothic" w:cs="Arial" w:eastAsiaTheme="minorHAnsi"/>
          <w:color w:val="FF0000"/>
          <w:sz w:val="22"/>
          <w:szCs w:val="22"/>
          <w:lang w:val="es-MX" w:eastAsia="en-US"/>
        </w:rPr>
      </w:pPr>
    </w:p>
    <w:p w14:paraId="64BAA9F1">
      <w:pPr>
        <w:pStyle w:val="65"/>
        <w:numPr>
          <w:ilvl w:val="0"/>
          <w:numId w:val="38"/>
        </w:numPr>
        <w:autoSpaceDE w:val="0"/>
        <w:autoSpaceDN w:val="0"/>
        <w:adjustRightInd w:val="0"/>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La Entidad ejerce vigilancia especial sobre los productos y transacciones realizadas por las personas públicamente expuestas, especialmente las que manejan recursos públicos, poseen algún poder público o gozan de reconocimiento en la zona de influencia de la Entidad.</w:t>
      </w:r>
    </w:p>
    <w:p w14:paraId="68167F62">
      <w:pPr>
        <w:pStyle w:val="65"/>
        <w:rPr>
          <w:rFonts w:ascii="Century Gothic" w:hAnsi="Century Gothic" w:cs="Arial" w:eastAsiaTheme="minorHAnsi"/>
          <w:sz w:val="22"/>
          <w:szCs w:val="22"/>
          <w:lang w:val="es-MX" w:eastAsia="en-US"/>
        </w:rPr>
      </w:pPr>
    </w:p>
    <w:p w14:paraId="4221B49C">
      <w:pPr>
        <w:pStyle w:val="65"/>
        <w:numPr>
          <w:ilvl w:val="0"/>
          <w:numId w:val="38"/>
        </w:numPr>
        <w:autoSpaceDE w:val="0"/>
        <w:autoSpaceDN w:val="0"/>
        <w:adjustRightInd w:val="0"/>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En el evento en que un asociado, relacionado contractual final pase a ser una persona expuesta públicamente en los términos señalados en el presente numeral o en el decreto 1674 de 2016, y demás normas de lo que lo modifiquen, sustituyan, adicionen, aclaren o complementen, debe informarse al Consejo de Administración.</w:t>
      </w:r>
    </w:p>
    <w:p w14:paraId="221A8EA1">
      <w:pPr>
        <w:pStyle w:val="65"/>
        <w:rPr>
          <w:rFonts w:ascii="Century Gothic" w:hAnsi="Century Gothic" w:cs="Arial" w:eastAsiaTheme="minorHAnsi"/>
          <w:sz w:val="22"/>
          <w:szCs w:val="22"/>
          <w:lang w:val="es-MX" w:eastAsia="en-US"/>
        </w:rPr>
      </w:pPr>
    </w:p>
    <w:p w14:paraId="6FDE74AD">
      <w:pPr>
        <w:pStyle w:val="65"/>
        <w:numPr>
          <w:ilvl w:val="0"/>
          <w:numId w:val="38"/>
        </w:numPr>
        <w:autoSpaceDE w:val="0"/>
        <w:autoSpaceDN w:val="0"/>
        <w:adjustRightInd w:val="0"/>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 xml:space="preserve">Las PEP extranjeras, las PEP nacionales determinadas en el decreto 1674 de 2016, y demás normas que lo modifiquen, sustituyan, adiciones, aclaren o complementen, o a quienes se les ha confiado una función pública prominente en una organización internacional, </w:t>
      </w:r>
      <w:r>
        <w:rPr>
          <w:rFonts w:ascii="Century Gothic" w:hAnsi="Century Gothic" w:cs="Arial" w:eastAsiaTheme="minorHAnsi"/>
          <w:b/>
          <w:sz w:val="22"/>
          <w:szCs w:val="22"/>
          <w:lang w:val="es-MX" w:eastAsia="en-US"/>
        </w:rPr>
        <w:t>siempre deberán ser considerados como de alto riesgo para la entidad</w:t>
      </w:r>
      <w:r>
        <w:rPr>
          <w:rFonts w:ascii="Century Gothic" w:hAnsi="Century Gothic" w:cs="Arial" w:eastAsiaTheme="minorHAnsi"/>
          <w:sz w:val="22"/>
          <w:szCs w:val="22"/>
          <w:lang w:val="es-MX" w:eastAsia="en-US"/>
        </w:rPr>
        <w:t xml:space="preserve"> y se les clasificara de acuerdo con su perfil de riesgo.</w:t>
      </w:r>
    </w:p>
    <w:p w14:paraId="442F07E9">
      <w:pPr>
        <w:pStyle w:val="65"/>
        <w:rPr>
          <w:rFonts w:ascii="Century Gothic" w:hAnsi="Century Gothic" w:cs="Arial" w:eastAsiaTheme="minorHAnsi"/>
          <w:sz w:val="22"/>
          <w:szCs w:val="22"/>
          <w:lang w:val="es-MX" w:eastAsia="en-US"/>
        </w:rPr>
      </w:pPr>
    </w:p>
    <w:p w14:paraId="5B4F413F">
      <w:pPr>
        <w:pStyle w:val="65"/>
        <w:numPr>
          <w:ilvl w:val="0"/>
          <w:numId w:val="38"/>
        </w:numPr>
        <w:autoSpaceDE w:val="0"/>
        <w:autoSpaceDN w:val="0"/>
        <w:adjustRightInd w:val="0"/>
        <w:rPr>
          <w:rFonts w:ascii="Century Gothic" w:hAnsi="Century Gothic" w:cs="Arial" w:eastAsiaTheme="minorHAnsi"/>
          <w:sz w:val="22"/>
          <w:szCs w:val="22"/>
          <w:lang w:val="es-MX" w:eastAsia="en-US"/>
        </w:rPr>
      </w:pPr>
      <w:r>
        <w:rPr>
          <w:rFonts w:ascii="Century Gothic" w:hAnsi="Century Gothic" w:cs="Arial" w:eastAsiaTheme="minorHAnsi"/>
          <w:sz w:val="22"/>
          <w:szCs w:val="22"/>
          <w:lang w:val="es-MX" w:eastAsia="en-US"/>
        </w:rPr>
        <w:t>En cualquier caso, el estudio y aprobación de la vinculación de las PEP debe llevarse a cabo por parte del Consejo de Administración correspondiente, con el fin de aplicar los procedimientos correspondientes para los PEP en el SARLAFT.</w:t>
      </w:r>
    </w:p>
    <w:p w14:paraId="0A86F24B">
      <w:pPr>
        <w:pStyle w:val="65"/>
        <w:rPr>
          <w:rFonts w:ascii="Century Gothic" w:hAnsi="Century Gothic" w:cs="Arial" w:eastAsiaTheme="minorHAnsi"/>
          <w:sz w:val="22"/>
          <w:szCs w:val="22"/>
          <w:highlight w:val="yellow"/>
          <w:lang w:val="es-MX" w:eastAsia="en-US"/>
        </w:rPr>
      </w:pPr>
    </w:p>
    <w:p w14:paraId="7609EA01">
      <w:pPr>
        <w:pStyle w:val="65"/>
        <w:numPr>
          <w:ilvl w:val="0"/>
          <w:numId w:val="38"/>
        </w:numPr>
        <w:autoSpaceDE w:val="0"/>
        <w:autoSpaceDN w:val="0"/>
        <w:adjustRightInd w:val="0"/>
        <w:rPr>
          <w:rFonts w:ascii="Century Gothic" w:hAnsi="Century Gothic" w:cs="Arial" w:eastAsiaTheme="minorHAnsi"/>
          <w:color w:val="000000" w:themeColor="text1"/>
          <w:sz w:val="22"/>
          <w:szCs w:val="22"/>
          <w:lang w:val="es-CO" w:eastAsia="en-US"/>
          <w14:textFill>
            <w14:solidFill>
              <w14:schemeClr w14:val="tx1"/>
            </w14:solidFill>
          </w14:textFill>
        </w:rPr>
      </w:pPr>
      <w:r>
        <w:rPr>
          <w:rFonts w:ascii="Century Gothic" w:hAnsi="Century Gothic" w:cs="Arial" w:eastAsiaTheme="minorHAnsi"/>
          <w:sz w:val="22"/>
          <w:szCs w:val="22"/>
          <w:lang w:val="es-MX" w:eastAsia="en-US"/>
        </w:rPr>
        <w:t xml:space="preserve">Se mantendrá la calificación y el tratamiento especial a las PEP durante el periodo ocupen sus cargos y durante los dos (2) años siguientes a su dejación, renuncia, despido, o </w:t>
      </w:r>
      <w:r>
        <w:rPr>
          <w:rFonts w:ascii="Century Gothic" w:hAnsi="Century Gothic" w:cs="Arial" w:eastAsiaTheme="minorHAnsi"/>
          <w:color w:val="000000" w:themeColor="text1"/>
          <w:sz w:val="22"/>
          <w:szCs w:val="22"/>
          <w:lang w:val="es-MX" w:eastAsia="en-US"/>
          <w14:textFill>
            <w14:solidFill>
              <w14:schemeClr w14:val="tx1"/>
            </w14:solidFill>
          </w14:textFill>
        </w:rPr>
        <w:t xml:space="preserve">declaración, en caso de insubsistencia del nombramiento o cualquier otra forma de desvinculación, </w:t>
      </w:r>
      <w:r>
        <w:rPr>
          <w:rFonts w:ascii="Century Gothic" w:hAnsi="Century Gothic" w:cs="Arial" w:eastAsiaTheme="minorHAnsi"/>
          <w:color w:val="000000" w:themeColor="text1"/>
          <w:sz w:val="22"/>
          <w:szCs w:val="22"/>
          <w:lang w:eastAsia="en-US"/>
          <w14:textFill>
            <w14:solidFill>
              <w14:schemeClr w14:val="tx1"/>
            </w14:solidFill>
          </w14:textFill>
        </w:rPr>
        <w:t>la Entidad</w:t>
      </w:r>
      <w:r>
        <w:rPr>
          <w:rFonts w:ascii="Century Gothic" w:hAnsi="Century Gothic" w:cs="Arial" w:eastAsiaTheme="minorHAnsi"/>
          <w:color w:val="000000" w:themeColor="text1"/>
          <w:sz w:val="22"/>
          <w:szCs w:val="22"/>
          <w:lang w:val="es-CO" w:eastAsia="en-US"/>
          <w14:textFill>
            <w14:solidFill>
              <w14:schemeClr w14:val="tx1"/>
            </w14:solidFill>
          </w14:textFill>
        </w:rPr>
        <w:t xml:space="preserve"> considerará un Cliente PEPS, </w:t>
      </w:r>
      <w:r>
        <w:rPr>
          <w:rFonts w:ascii="Century Gothic" w:hAnsi="Century Gothic" w:cs="Arial" w:eastAsiaTheme="minorHAnsi"/>
          <w:sz w:val="22"/>
          <w:szCs w:val="22"/>
          <w:lang w:val="es-MX" w:eastAsia="en-US"/>
        </w:rPr>
        <w:t xml:space="preserve"> igualmente se consideraran PEP </w:t>
      </w:r>
      <w:r>
        <w:rPr>
          <w:rFonts w:ascii="Century Gothic" w:hAnsi="Century Gothic" w:cs="Arial" w:eastAsiaTheme="minorHAnsi"/>
          <w:color w:val="000000" w:themeColor="text1"/>
          <w:sz w:val="22"/>
          <w:szCs w:val="22"/>
          <w:lang w:val="es-CO" w:eastAsia="en-US"/>
          <w14:textFill>
            <w14:solidFill>
              <w14:schemeClr w14:val="tx1"/>
            </w14:solidFill>
          </w14:textFill>
        </w:rPr>
        <w:t xml:space="preserve">aquellas personas que hayan ejercido cargos públicos dos años atrás a su vinculación, </w:t>
      </w:r>
    </w:p>
    <w:p w14:paraId="7563227E">
      <w:pPr>
        <w:pStyle w:val="65"/>
        <w:rPr>
          <w:rFonts w:ascii="Century Gothic" w:hAnsi="Century Gothic" w:cs="Arial" w:eastAsiaTheme="minorHAnsi"/>
          <w:sz w:val="22"/>
          <w:szCs w:val="22"/>
          <w:lang w:val="es-MX" w:eastAsia="en-US"/>
        </w:rPr>
      </w:pPr>
    </w:p>
    <w:p w14:paraId="772F3EF8">
      <w:pPr>
        <w:pStyle w:val="65"/>
        <w:widowControl w:val="0"/>
        <w:numPr>
          <w:ilvl w:val="0"/>
          <w:numId w:val="38"/>
        </w:numPr>
        <w:autoSpaceDE w:val="0"/>
        <w:autoSpaceDN w:val="0"/>
        <w:adjustRightInd w:val="0"/>
        <w:spacing w:line="240" w:lineRule="exact"/>
        <w:rPr>
          <w:rFonts w:ascii="Century Gothic" w:hAnsi="Century Gothic" w:cs="Arial"/>
          <w:sz w:val="22"/>
          <w:szCs w:val="22"/>
        </w:rPr>
      </w:pPr>
      <w:r>
        <w:rPr>
          <w:rFonts w:ascii="Century Gothic" w:hAnsi="Century Gothic" w:cs="Arial"/>
          <w:color w:val="000000"/>
          <w:sz w:val="22"/>
          <w:szCs w:val="22"/>
        </w:rPr>
        <w:t>No</w:t>
      </w:r>
      <w:r>
        <w:rPr>
          <w:rFonts w:ascii="Century Gothic" w:hAnsi="Century Gothic" w:cs="Arial"/>
          <w:color w:val="000000"/>
          <w:spacing w:val="58"/>
          <w:sz w:val="22"/>
          <w:szCs w:val="22"/>
        </w:rPr>
        <w:t xml:space="preserve"> </w:t>
      </w:r>
      <w:r>
        <w:rPr>
          <w:rFonts w:ascii="Century Gothic" w:hAnsi="Century Gothic" w:cs="Arial"/>
          <w:color w:val="000000"/>
          <w:spacing w:val="1"/>
          <w:sz w:val="22"/>
          <w:szCs w:val="22"/>
        </w:rPr>
        <w:t>ob</w:t>
      </w:r>
      <w:r>
        <w:rPr>
          <w:rFonts w:ascii="Century Gothic" w:hAnsi="Century Gothic" w:cs="Arial"/>
          <w:color w:val="000000"/>
          <w:sz w:val="22"/>
          <w:szCs w:val="22"/>
        </w:rPr>
        <w:t>stant</w:t>
      </w:r>
      <w:r>
        <w:rPr>
          <w:rFonts w:ascii="Century Gothic" w:hAnsi="Century Gothic" w:cs="Arial"/>
          <w:color w:val="000000"/>
          <w:spacing w:val="1"/>
          <w:sz w:val="22"/>
          <w:szCs w:val="22"/>
        </w:rPr>
        <w:t>e</w:t>
      </w:r>
      <w:r>
        <w:rPr>
          <w:rFonts w:ascii="Century Gothic" w:hAnsi="Century Gothic" w:cs="Arial"/>
          <w:color w:val="000000"/>
          <w:sz w:val="22"/>
          <w:szCs w:val="22"/>
        </w:rPr>
        <w:t>,</w:t>
      </w:r>
      <w:r>
        <w:rPr>
          <w:rFonts w:ascii="Century Gothic" w:hAnsi="Century Gothic" w:cs="Arial"/>
          <w:color w:val="000000"/>
          <w:spacing w:val="59"/>
          <w:sz w:val="22"/>
          <w:szCs w:val="22"/>
        </w:rPr>
        <w:t xml:space="preserve"> </w:t>
      </w:r>
      <w:r>
        <w:rPr>
          <w:rFonts w:ascii="Century Gothic" w:hAnsi="Century Gothic" w:cs="Arial"/>
          <w:color w:val="000000"/>
          <w:spacing w:val="-1"/>
          <w:sz w:val="22"/>
          <w:szCs w:val="22"/>
        </w:rPr>
        <w:t>co</w:t>
      </w:r>
      <w:r>
        <w:rPr>
          <w:rFonts w:ascii="Century Gothic" w:hAnsi="Century Gothic" w:cs="Arial"/>
          <w:color w:val="000000"/>
          <w:sz w:val="22"/>
          <w:szCs w:val="22"/>
        </w:rPr>
        <w:t>mo</w:t>
      </w:r>
      <w:r>
        <w:rPr>
          <w:rFonts w:ascii="Century Gothic" w:hAnsi="Century Gothic" w:cs="Arial"/>
          <w:color w:val="000000"/>
          <w:spacing w:val="59"/>
          <w:sz w:val="22"/>
          <w:szCs w:val="22"/>
        </w:rPr>
        <w:t xml:space="preserve"> </w:t>
      </w:r>
      <w:r>
        <w:rPr>
          <w:rFonts w:ascii="Century Gothic" w:hAnsi="Century Gothic" w:cs="Arial"/>
          <w:color w:val="000000"/>
          <w:spacing w:val="-1"/>
          <w:sz w:val="22"/>
          <w:szCs w:val="22"/>
        </w:rPr>
        <w:t>q</w:t>
      </w:r>
      <w:r>
        <w:rPr>
          <w:rFonts w:ascii="Century Gothic" w:hAnsi="Century Gothic" w:cs="Arial"/>
          <w:color w:val="000000"/>
          <w:sz w:val="22"/>
          <w:szCs w:val="22"/>
        </w:rPr>
        <w:t>ui</w:t>
      </w:r>
      <w:r>
        <w:rPr>
          <w:rFonts w:ascii="Century Gothic" w:hAnsi="Century Gothic" w:cs="Arial"/>
          <w:color w:val="000000"/>
          <w:spacing w:val="1"/>
          <w:sz w:val="22"/>
          <w:szCs w:val="22"/>
        </w:rPr>
        <w:t>e</w:t>
      </w:r>
      <w:r>
        <w:rPr>
          <w:rFonts w:ascii="Century Gothic" w:hAnsi="Century Gothic" w:cs="Arial"/>
          <w:color w:val="000000"/>
          <w:sz w:val="22"/>
          <w:szCs w:val="22"/>
        </w:rPr>
        <w:t>ra</w:t>
      </w:r>
      <w:r>
        <w:rPr>
          <w:rFonts w:ascii="Century Gothic" w:hAnsi="Century Gothic" w:cs="Arial"/>
          <w:color w:val="000000"/>
          <w:spacing w:val="58"/>
          <w:sz w:val="22"/>
          <w:szCs w:val="22"/>
        </w:rPr>
        <w:t xml:space="preserve"> </w:t>
      </w:r>
      <w:r>
        <w:rPr>
          <w:rFonts w:ascii="Century Gothic" w:hAnsi="Century Gothic" w:cs="Arial"/>
          <w:color w:val="000000"/>
          <w:spacing w:val="-1"/>
          <w:sz w:val="22"/>
          <w:szCs w:val="22"/>
        </w:rPr>
        <w:t>q</w:t>
      </w:r>
      <w:r>
        <w:rPr>
          <w:rFonts w:ascii="Century Gothic" w:hAnsi="Century Gothic" w:cs="Arial"/>
          <w:color w:val="000000"/>
          <w:sz w:val="22"/>
          <w:szCs w:val="22"/>
        </w:rPr>
        <w:t>ue</w:t>
      </w:r>
      <w:r>
        <w:rPr>
          <w:rFonts w:ascii="Century Gothic" w:hAnsi="Century Gothic" w:cs="Arial"/>
          <w:color w:val="000000"/>
          <w:spacing w:val="59"/>
          <w:sz w:val="22"/>
          <w:szCs w:val="22"/>
        </w:rPr>
        <w:t xml:space="preserve"> se </w:t>
      </w:r>
      <w:r>
        <w:rPr>
          <w:rFonts w:ascii="Century Gothic" w:hAnsi="Century Gothic" w:cs="Arial"/>
          <w:color w:val="000000"/>
          <w:spacing w:val="-1"/>
          <w:sz w:val="22"/>
          <w:szCs w:val="22"/>
        </w:rPr>
        <w:t>podrían</w:t>
      </w:r>
      <w:r>
        <w:rPr>
          <w:rFonts w:ascii="Century Gothic" w:hAnsi="Century Gothic" w:cs="Arial"/>
          <w:color w:val="000000"/>
          <w:spacing w:val="59"/>
          <w:sz w:val="22"/>
          <w:szCs w:val="22"/>
        </w:rPr>
        <w:t xml:space="preserve"> </w:t>
      </w:r>
      <w:r>
        <w:rPr>
          <w:rFonts w:ascii="Century Gothic" w:hAnsi="Century Gothic" w:cs="Arial"/>
          <w:color w:val="000000"/>
          <w:spacing w:val="-1"/>
          <w:sz w:val="22"/>
          <w:szCs w:val="22"/>
        </w:rPr>
        <w:t>t</w:t>
      </w:r>
      <w:r>
        <w:rPr>
          <w:rFonts w:ascii="Century Gothic" w:hAnsi="Century Gothic" w:cs="Arial"/>
          <w:color w:val="000000"/>
          <w:sz w:val="22"/>
          <w:szCs w:val="22"/>
        </w:rPr>
        <w:t>e</w:t>
      </w:r>
      <w:r>
        <w:rPr>
          <w:rFonts w:ascii="Century Gothic" w:hAnsi="Century Gothic" w:cs="Arial"/>
          <w:color w:val="000000"/>
          <w:spacing w:val="1"/>
          <w:sz w:val="22"/>
          <w:szCs w:val="22"/>
        </w:rPr>
        <w:t>ne</w:t>
      </w:r>
      <w:r>
        <w:rPr>
          <w:rFonts w:ascii="Century Gothic" w:hAnsi="Century Gothic" w:cs="Arial"/>
          <w:color w:val="000000"/>
          <w:sz w:val="22"/>
          <w:szCs w:val="22"/>
        </w:rPr>
        <w:t>r</w:t>
      </w:r>
      <w:r>
        <w:rPr>
          <w:rFonts w:ascii="Century Gothic" w:hAnsi="Century Gothic" w:cs="Arial"/>
          <w:color w:val="000000"/>
          <w:spacing w:val="57"/>
          <w:sz w:val="22"/>
          <w:szCs w:val="22"/>
        </w:rPr>
        <w:t xml:space="preserve"> </w:t>
      </w:r>
      <w:r>
        <w:rPr>
          <w:rFonts w:ascii="Century Gothic" w:hAnsi="Century Gothic" w:cs="Arial"/>
          <w:color w:val="000000"/>
          <w:sz w:val="22"/>
          <w:szCs w:val="22"/>
        </w:rPr>
        <w:t>c</w:t>
      </w:r>
      <w:r>
        <w:rPr>
          <w:rFonts w:ascii="Century Gothic" w:hAnsi="Century Gothic" w:cs="Arial"/>
          <w:color w:val="000000"/>
          <w:spacing w:val="1"/>
          <w:sz w:val="22"/>
          <w:szCs w:val="22"/>
        </w:rPr>
        <w:t>a</w:t>
      </w:r>
      <w:r>
        <w:rPr>
          <w:rFonts w:ascii="Century Gothic" w:hAnsi="Century Gothic" w:cs="Arial"/>
          <w:color w:val="000000"/>
          <w:sz w:val="22"/>
          <w:szCs w:val="22"/>
        </w:rPr>
        <w:t>ndid</w:t>
      </w:r>
      <w:r>
        <w:rPr>
          <w:rFonts w:ascii="Century Gothic" w:hAnsi="Century Gothic" w:cs="Arial"/>
          <w:color w:val="000000"/>
          <w:spacing w:val="1"/>
          <w:sz w:val="22"/>
          <w:szCs w:val="22"/>
        </w:rPr>
        <w:t>a</w:t>
      </w:r>
      <w:r>
        <w:rPr>
          <w:rFonts w:ascii="Century Gothic" w:hAnsi="Century Gothic" w:cs="Arial"/>
          <w:color w:val="000000"/>
          <w:spacing w:val="-1"/>
          <w:sz w:val="22"/>
          <w:szCs w:val="22"/>
        </w:rPr>
        <w:t>t</w:t>
      </w:r>
      <w:r>
        <w:rPr>
          <w:rFonts w:ascii="Century Gothic" w:hAnsi="Century Gothic" w:cs="Arial"/>
          <w:color w:val="000000"/>
          <w:sz w:val="22"/>
          <w:szCs w:val="22"/>
        </w:rPr>
        <w:t>os</w:t>
      </w:r>
      <w:r>
        <w:rPr>
          <w:rFonts w:ascii="Century Gothic" w:hAnsi="Century Gothic" w:cs="Arial"/>
          <w:color w:val="000000"/>
          <w:spacing w:val="58"/>
          <w:sz w:val="22"/>
          <w:szCs w:val="22"/>
        </w:rPr>
        <w:t xml:space="preserve"> </w:t>
      </w:r>
      <w:r>
        <w:rPr>
          <w:rFonts w:ascii="Century Gothic" w:hAnsi="Century Gothic" w:cs="Arial"/>
          <w:color w:val="000000"/>
          <w:sz w:val="22"/>
          <w:szCs w:val="22"/>
        </w:rPr>
        <w:t>a</w:t>
      </w:r>
      <w:r>
        <w:rPr>
          <w:rFonts w:ascii="Century Gothic" w:hAnsi="Century Gothic" w:cs="Arial"/>
          <w:color w:val="000000"/>
          <w:spacing w:val="59"/>
          <w:sz w:val="22"/>
          <w:szCs w:val="22"/>
        </w:rPr>
        <w:t xml:space="preserve"> </w:t>
      </w:r>
      <w:r>
        <w:rPr>
          <w:rFonts w:ascii="Century Gothic" w:hAnsi="Century Gothic" w:cs="Arial"/>
          <w:color w:val="000000"/>
          <w:sz w:val="22"/>
          <w:szCs w:val="22"/>
        </w:rPr>
        <w:t>cual</w:t>
      </w:r>
      <w:r>
        <w:rPr>
          <w:rFonts w:ascii="Century Gothic" w:hAnsi="Century Gothic" w:cs="Arial"/>
          <w:color w:val="000000"/>
          <w:spacing w:val="-1"/>
          <w:sz w:val="22"/>
          <w:szCs w:val="22"/>
        </w:rPr>
        <w:t>q</w:t>
      </w:r>
      <w:r>
        <w:rPr>
          <w:rFonts w:ascii="Century Gothic" w:hAnsi="Century Gothic" w:cs="Arial"/>
          <w:color w:val="000000"/>
          <w:sz w:val="22"/>
          <w:szCs w:val="22"/>
        </w:rPr>
        <w:t>uiera</w:t>
      </w:r>
      <w:r>
        <w:rPr>
          <w:rFonts w:ascii="Century Gothic" w:hAnsi="Century Gothic" w:cs="Arial"/>
          <w:color w:val="000000"/>
          <w:spacing w:val="58"/>
          <w:sz w:val="22"/>
          <w:szCs w:val="22"/>
        </w:rPr>
        <w:t xml:space="preserve"> </w:t>
      </w:r>
      <w:r>
        <w:rPr>
          <w:rFonts w:ascii="Century Gothic" w:hAnsi="Century Gothic" w:cs="Arial"/>
          <w:color w:val="000000"/>
          <w:spacing w:val="1"/>
          <w:sz w:val="22"/>
          <w:szCs w:val="22"/>
        </w:rPr>
        <w:t>d</w:t>
      </w:r>
      <w:r>
        <w:rPr>
          <w:rFonts w:ascii="Century Gothic" w:hAnsi="Century Gothic" w:cs="Arial"/>
          <w:color w:val="000000"/>
          <w:sz w:val="22"/>
          <w:szCs w:val="22"/>
        </w:rPr>
        <w:t>e</w:t>
      </w:r>
      <w:r>
        <w:rPr>
          <w:rFonts w:ascii="Century Gothic" w:hAnsi="Century Gothic" w:cs="Arial"/>
          <w:color w:val="000000"/>
          <w:spacing w:val="59"/>
          <w:sz w:val="22"/>
          <w:szCs w:val="22"/>
        </w:rPr>
        <w:t xml:space="preserve"> </w:t>
      </w:r>
      <w:r>
        <w:rPr>
          <w:rFonts w:ascii="Century Gothic" w:hAnsi="Century Gothic" w:cs="Arial"/>
          <w:color w:val="000000"/>
          <w:sz w:val="22"/>
          <w:szCs w:val="22"/>
        </w:rPr>
        <w:t>l</w:t>
      </w:r>
      <w:r>
        <w:rPr>
          <w:rFonts w:ascii="Century Gothic" w:hAnsi="Century Gothic" w:cs="Arial"/>
          <w:color w:val="000000"/>
          <w:spacing w:val="1"/>
          <w:sz w:val="22"/>
          <w:szCs w:val="22"/>
        </w:rPr>
        <w:t>o</w:t>
      </w:r>
      <w:r>
        <w:rPr>
          <w:rFonts w:ascii="Century Gothic" w:hAnsi="Century Gothic" w:cs="Arial"/>
          <w:color w:val="000000"/>
          <w:sz w:val="22"/>
          <w:szCs w:val="22"/>
        </w:rPr>
        <w:t>s</w:t>
      </w:r>
      <w:r>
        <w:rPr>
          <w:rFonts w:ascii="Century Gothic" w:hAnsi="Century Gothic" w:cs="Arial"/>
          <w:sz w:val="22"/>
          <w:szCs w:val="22"/>
        </w:rPr>
        <w:t xml:space="preserve"> </w:t>
      </w:r>
      <w:r>
        <w:rPr>
          <w:rFonts w:ascii="Century Gothic" w:hAnsi="Century Gothic" w:cs="Arial"/>
          <w:color w:val="000000"/>
          <w:sz w:val="22"/>
          <w:szCs w:val="22"/>
        </w:rPr>
        <w:t>es</w:t>
      </w:r>
      <w:r>
        <w:rPr>
          <w:rFonts w:ascii="Century Gothic" w:hAnsi="Century Gothic" w:cs="Arial"/>
          <w:color w:val="000000"/>
          <w:spacing w:val="1"/>
          <w:sz w:val="22"/>
          <w:szCs w:val="22"/>
        </w:rPr>
        <w:t>t</w:t>
      </w:r>
      <w:r>
        <w:rPr>
          <w:rFonts w:ascii="Century Gothic" w:hAnsi="Century Gothic" w:cs="Arial"/>
          <w:color w:val="000000"/>
          <w:spacing w:val="-1"/>
          <w:sz w:val="22"/>
          <w:szCs w:val="22"/>
        </w:rPr>
        <w:t>a</w:t>
      </w:r>
      <w:r>
        <w:rPr>
          <w:rFonts w:ascii="Century Gothic" w:hAnsi="Century Gothic" w:cs="Arial"/>
          <w:color w:val="000000"/>
          <w:spacing w:val="1"/>
          <w:sz w:val="22"/>
          <w:szCs w:val="22"/>
        </w:rPr>
        <w:t>me</w:t>
      </w:r>
      <w:r>
        <w:rPr>
          <w:rFonts w:ascii="Century Gothic" w:hAnsi="Century Gothic" w:cs="Arial"/>
          <w:color w:val="000000"/>
          <w:sz w:val="22"/>
          <w:szCs w:val="22"/>
        </w:rPr>
        <w:t>ntos</w:t>
      </w:r>
      <w:r>
        <w:rPr>
          <w:rFonts w:ascii="Century Gothic" w:hAnsi="Century Gothic" w:cs="Arial"/>
          <w:color w:val="000000"/>
          <w:spacing w:val="77"/>
          <w:sz w:val="22"/>
          <w:szCs w:val="22"/>
        </w:rPr>
        <w:t xml:space="preserve"> </w:t>
      </w:r>
      <w:r>
        <w:rPr>
          <w:rFonts w:ascii="Century Gothic" w:hAnsi="Century Gothic" w:cs="Arial"/>
          <w:color w:val="000000"/>
          <w:sz w:val="22"/>
          <w:szCs w:val="22"/>
        </w:rPr>
        <w:t>que</w:t>
      </w:r>
      <w:r>
        <w:rPr>
          <w:rFonts w:ascii="Century Gothic" w:hAnsi="Century Gothic" w:cs="Arial"/>
          <w:color w:val="000000"/>
          <w:spacing w:val="76"/>
          <w:sz w:val="22"/>
          <w:szCs w:val="22"/>
        </w:rPr>
        <w:t xml:space="preserve"> </w:t>
      </w:r>
      <w:r>
        <w:rPr>
          <w:rFonts w:ascii="Century Gothic" w:hAnsi="Century Gothic" w:cs="Arial"/>
          <w:color w:val="000000"/>
          <w:sz w:val="22"/>
          <w:szCs w:val="22"/>
        </w:rPr>
        <w:t xml:space="preserve">tengan aportes sociales, </w:t>
      </w:r>
      <w:r>
        <w:rPr>
          <w:rFonts w:ascii="Century Gothic" w:hAnsi="Century Gothic" w:cs="Arial"/>
          <w:color w:val="000000"/>
          <w:spacing w:val="-1"/>
          <w:sz w:val="22"/>
          <w:szCs w:val="22"/>
        </w:rPr>
        <w:t>co</w:t>
      </w:r>
      <w:r>
        <w:rPr>
          <w:rFonts w:ascii="Century Gothic" w:hAnsi="Century Gothic" w:cs="Arial"/>
          <w:color w:val="000000"/>
          <w:sz w:val="22"/>
          <w:szCs w:val="22"/>
        </w:rPr>
        <w:t>n</w:t>
      </w:r>
      <w:r>
        <w:rPr>
          <w:rFonts w:ascii="Century Gothic" w:hAnsi="Century Gothic" w:cs="Arial"/>
          <w:color w:val="000000"/>
          <w:spacing w:val="76"/>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z w:val="22"/>
          <w:szCs w:val="22"/>
        </w:rPr>
        <w:t>l</w:t>
      </w:r>
      <w:r>
        <w:rPr>
          <w:rFonts w:ascii="Century Gothic" w:hAnsi="Century Gothic" w:cs="Arial"/>
          <w:color w:val="000000"/>
          <w:spacing w:val="77"/>
          <w:sz w:val="22"/>
          <w:szCs w:val="22"/>
        </w:rPr>
        <w:t xml:space="preserve"> </w:t>
      </w:r>
      <w:r>
        <w:rPr>
          <w:rFonts w:ascii="Century Gothic" w:hAnsi="Century Gothic" w:cs="Arial"/>
          <w:color w:val="000000"/>
          <w:spacing w:val="1"/>
          <w:sz w:val="22"/>
          <w:szCs w:val="22"/>
        </w:rPr>
        <w:t>p</w:t>
      </w:r>
      <w:r>
        <w:rPr>
          <w:rFonts w:ascii="Century Gothic" w:hAnsi="Century Gothic" w:cs="Arial"/>
          <w:color w:val="000000"/>
          <w:sz w:val="22"/>
          <w:szCs w:val="22"/>
        </w:rPr>
        <w:t>ropósito</w:t>
      </w:r>
      <w:r>
        <w:rPr>
          <w:rFonts w:ascii="Century Gothic" w:hAnsi="Century Gothic" w:cs="Arial"/>
          <w:color w:val="000000"/>
          <w:spacing w:val="75"/>
          <w:sz w:val="22"/>
          <w:szCs w:val="22"/>
        </w:rPr>
        <w:t xml:space="preserve"> </w:t>
      </w:r>
      <w:r>
        <w:rPr>
          <w:rFonts w:ascii="Century Gothic" w:hAnsi="Century Gothic" w:cs="Arial"/>
          <w:color w:val="000000"/>
          <w:sz w:val="22"/>
          <w:szCs w:val="22"/>
        </w:rPr>
        <w:t>de</w:t>
      </w:r>
      <w:r>
        <w:rPr>
          <w:rFonts w:ascii="Century Gothic" w:hAnsi="Century Gothic" w:cs="Arial"/>
          <w:sz w:val="22"/>
          <w:szCs w:val="22"/>
        </w:rPr>
        <w:t xml:space="preserve"> </w:t>
      </w:r>
      <w:r>
        <w:rPr>
          <w:rFonts w:ascii="Century Gothic" w:hAnsi="Century Gothic" w:cs="Arial"/>
          <w:color w:val="000000"/>
          <w:spacing w:val="1"/>
          <w:sz w:val="22"/>
          <w:szCs w:val="22"/>
        </w:rPr>
        <w:t>m</w:t>
      </w:r>
      <w:r>
        <w:rPr>
          <w:rFonts w:ascii="Century Gothic" w:hAnsi="Century Gothic" w:cs="Arial"/>
          <w:color w:val="000000"/>
          <w:sz w:val="22"/>
          <w:szCs w:val="22"/>
        </w:rPr>
        <w:t>i</w:t>
      </w:r>
      <w:r>
        <w:rPr>
          <w:rFonts w:ascii="Century Gothic" w:hAnsi="Century Gothic" w:cs="Arial"/>
          <w:color w:val="000000"/>
          <w:spacing w:val="1"/>
          <w:sz w:val="22"/>
          <w:szCs w:val="22"/>
        </w:rPr>
        <w:t>n</w:t>
      </w:r>
      <w:r>
        <w:rPr>
          <w:rFonts w:ascii="Century Gothic" w:hAnsi="Century Gothic" w:cs="Arial"/>
          <w:color w:val="000000"/>
          <w:sz w:val="22"/>
          <w:szCs w:val="22"/>
        </w:rPr>
        <w:t>i</w:t>
      </w:r>
      <w:r>
        <w:rPr>
          <w:rFonts w:ascii="Century Gothic" w:hAnsi="Century Gothic" w:cs="Arial"/>
          <w:color w:val="000000"/>
          <w:spacing w:val="1"/>
          <w:sz w:val="22"/>
          <w:szCs w:val="22"/>
        </w:rPr>
        <w:t>m</w:t>
      </w:r>
      <w:r>
        <w:rPr>
          <w:rFonts w:ascii="Century Gothic" w:hAnsi="Century Gothic" w:cs="Arial"/>
          <w:color w:val="000000"/>
          <w:sz w:val="22"/>
          <w:szCs w:val="22"/>
        </w:rPr>
        <w:t>i</w:t>
      </w:r>
      <w:r>
        <w:rPr>
          <w:rFonts w:ascii="Century Gothic" w:hAnsi="Century Gothic" w:cs="Arial"/>
          <w:color w:val="000000"/>
          <w:spacing w:val="-2"/>
          <w:sz w:val="22"/>
          <w:szCs w:val="22"/>
        </w:rPr>
        <w:t>z</w:t>
      </w:r>
      <w:r>
        <w:rPr>
          <w:rFonts w:ascii="Century Gothic" w:hAnsi="Century Gothic" w:cs="Arial"/>
          <w:color w:val="000000"/>
          <w:sz w:val="22"/>
          <w:szCs w:val="22"/>
        </w:rPr>
        <w:t>ar</w:t>
      </w:r>
      <w:r>
        <w:rPr>
          <w:rFonts w:ascii="Century Gothic" w:hAnsi="Century Gothic" w:cs="Arial"/>
          <w:color w:val="000000"/>
          <w:spacing w:val="14"/>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z w:val="22"/>
          <w:szCs w:val="22"/>
        </w:rPr>
        <w:t>l</w:t>
      </w:r>
      <w:r>
        <w:rPr>
          <w:rFonts w:ascii="Century Gothic" w:hAnsi="Century Gothic" w:cs="Arial"/>
          <w:color w:val="000000"/>
          <w:spacing w:val="14"/>
          <w:sz w:val="22"/>
          <w:szCs w:val="22"/>
        </w:rPr>
        <w:t xml:space="preserve"> </w:t>
      </w:r>
      <w:r>
        <w:rPr>
          <w:rFonts w:ascii="Century Gothic" w:hAnsi="Century Gothic" w:cs="Arial"/>
          <w:color w:val="000000"/>
          <w:sz w:val="22"/>
          <w:szCs w:val="22"/>
        </w:rPr>
        <w:t>ries</w:t>
      </w:r>
      <w:r>
        <w:rPr>
          <w:rFonts w:ascii="Century Gothic" w:hAnsi="Century Gothic" w:cs="Arial"/>
          <w:color w:val="000000"/>
          <w:spacing w:val="-1"/>
          <w:sz w:val="22"/>
          <w:szCs w:val="22"/>
        </w:rPr>
        <w:t>g</w:t>
      </w:r>
      <w:r>
        <w:rPr>
          <w:rFonts w:ascii="Century Gothic" w:hAnsi="Century Gothic" w:cs="Arial"/>
          <w:color w:val="000000"/>
          <w:sz w:val="22"/>
          <w:szCs w:val="22"/>
        </w:rPr>
        <w:t>o</w:t>
      </w:r>
      <w:r>
        <w:rPr>
          <w:rFonts w:ascii="Century Gothic" w:hAnsi="Century Gothic" w:cs="Arial"/>
          <w:color w:val="000000"/>
          <w:spacing w:val="15"/>
          <w:sz w:val="22"/>
          <w:szCs w:val="22"/>
        </w:rPr>
        <w:t xml:space="preserve"> </w:t>
      </w:r>
      <w:r>
        <w:rPr>
          <w:rFonts w:ascii="Century Gothic" w:hAnsi="Century Gothic" w:cs="Arial"/>
          <w:color w:val="000000"/>
          <w:spacing w:val="1"/>
          <w:sz w:val="22"/>
          <w:szCs w:val="22"/>
        </w:rPr>
        <w:t>d</w:t>
      </w:r>
      <w:r>
        <w:rPr>
          <w:rFonts w:ascii="Century Gothic" w:hAnsi="Century Gothic" w:cs="Arial"/>
          <w:color w:val="000000"/>
          <w:sz w:val="22"/>
          <w:szCs w:val="22"/>
        </w:rPr>
        <w:t>e</w:t>
      </w:r>
      <w:r>
        <w:rPr>
          <w:rFonts w:ascii="Century Gothic" w:hAnsi="Century Gothic" w:cs="Arial"/>
          <w:color w:val="000000"/>
          <w:spacing w:val="18"/>
          <w:sz w:val="22"/>
          <w:szCs w:val="22"/>
        </w:rPr>
        <w:t xml:space="preserve"> </w:t>
      </w:r>
      <w:r>
        <w:rPr>
          <w:rFonts w:ascii="Century Gothic" w:hAnsi="Century Gothic" w:cs="Arial"/>
          <w:color w:val="000000"/>
          <w:sz w:val="22"/>
          <w:szCs w:val="22"/>
        </w:rPr>
        <w:t>que</w:t>
      </w:r>
      <w:r>
        <w:rPr>
          <w:rFonts w:ascii="Century Gothic" w:hAnsi="Century Gothic" w:cs="Arial"/>
          <w:color w:val="000000"/>
          <w:spacing w:val="16"/>
          <w:sz w:val="22"/>
          <w:szCs w:val="22"/>
        </w:rPr>
        <w:t xml:space="preserve"> </w:t>
      </w:r>
      <w:r>
        <w:rPr>
          <w:rFonts w:ascii="Century Gothic" w:hAnsi="Century Gothic" w:cs="Arial"/>
          <w:color w:val="000000"/>
          <w:sz w:val="22"/>
          <w:szCs w:val="22"/>
        </w:rPr>
        <w:t>la</w:t>
      </w:r>
      <w:r>
        <w:rPr>
          <w:rFonts w:ascii="Century Gothic" w:hAnsi="Century Gothic" w:cs="Arial"/>
          <w:color w:val="000000"/>
          <w:spacing w:val="15"/>
          <w:sz w:val="22"/>
          <w:szCs w:val="22"/>
        </w:rPr>
        <w:t xml:space="preserve"> </w:t>
      </w:r>
      <w:r>
        <w:rPr>
          <w:rFonts w:ascii="Century Gothic" w:hAnsi="Century Gothic" w:cs="Arial"/>
          <w:color w:val="000000"/>
          <w:spacing w:val="1"/>
          <w:sz w:val="22"/>
          <w:szCs w:val="22"/>
        </w:rPr>
        <w:t>en</w:t>
      </w:r>
      <w:r>
        <w:rPr>
          <w:rFonts w:ascii="Century Gothic" w:hAnsi="Century Gothic" w:cs="Arial"/>
          <w:color w:val="000000"/>
          <w:sz w:val="22"/>
          <w:szCs w:val="22"/>
        </w:rPr>
        <w:t>ti</w:t>
      </w:r>
      <w:r>
        <w:rPr>
          <w:rFonts w:ascii="Century Gothic" w:hAnsi="Century Gothic" w:cs="Arial"/>
          <w:color w:val="000000"/>
          <w:spacing w:val="1"/>
          <w:sz w:val="22"/>
          <w:szCs w:val="22"/>
        </w:rPr>
        <w:t>da</w:t>
      </w:r>
      <w:r>
        <w:rPr>
          <w:rFonts w:ascii="Century Gothic" w:hAnsi="Century Gothic" w:cs="Arial"/>
          <w:color w:val="000000"/>
          <w:sz w:val="22"/>
          <w:szCs w:val="22"/>
        </w:rPr>
        <w:t>d</w:t>
      </w:r>
      <w:r>
        <w:rPr>
          <w:rFonts w:ascii="Century Gothic" w:hAnsi="Century Gothic" w:cs="Arial"/>
          <w:color w:val="000000"/>
          <w:spacing w:val="16"/>
          <w:sz w:val="22"/>
          <w:szCs w:val="22"/>
        </w:rPr>
        <w:t xml:space="preserve"> </w:t>
      </w:r>
      <w:r>
        <w:rPr>
          <w:rFonts w:ascii="Century Gothic" w:hAnsi="Century Gothic" w:cs="Arial"/>
          <w:color w:val="000000"/>
          <w:sz w:val="22"/>
          <w:szCs w:val="22"/>
        </w:rPr>
        <w:t>s</w:t>
      </w:r>
      <w:r>
        <w:rPr>
          <w:rFonts w:ascii="Century Gothic" w:hAnsi="Century Gothic" w:cs="Arial"/>
          <w:color w:val="000000"/>
          <w:spacing w:val="1"/>
          <w:sz w:val="22"/>
          <w:szCs w:val="22"/>
        </w:rPr>
        <w:t>e</w:t>
      </w:r>
      <w:r>
        <w:rPr>
          <w:rFonts w:ascii="Century Gothic" w:hAnsi="Century Gothic" w:cs="Arial"/>
          <w:color w:val="000000"/>
          <w:sz w:val="22"/>
          <w:szCs w:val="22"/>
        </w:rPr>
        <w:t>a</w:t>
      </w:r>
      <w:r>
        <w:rPr>
          <w:rFonts w:ascii="Century Gothic" w:hAnsi="Century Gothic" w:cs="Arial"/>
          <w:color w:val="000000"/>
          <w:spacing w:val="15"/>
          <w:sz w:val="22"/>
          <w:szCs w:val="22"/>
        </w:rPr>
        <w:t xml:space="preserve"> </w:t>
      </w:r>
      <w:r>
        <w:rPr>
          <w:rFonts w:ascii="Century Gothic" w:hAnsi="Century Gothic" w:cs="Arial"/>
          <w:color w:val="000000"/>
          <w:spacing w:val="1"/>
          <w:sz w:val="22"/>
          <w:szCs w:val="22"/>
        </w:rPr>
        <w:t>ut</w:t>
      </w:r>
      <w:r>
        <w:rPr>
          <w:rFonts w:ascii="Century Gothic" w:hAnsi="Century Gothic" w:cs="Arial"/>
          <w:color w:val="000000"/>
          <w:spacing w:val="-2"/>
          <w:sz w:val="22"/>
          <w:szCs w:val="22"/>
        </w:rPr>
        <w:t>i</w:t>
      </w:r>
      <w:r>
        <w:rPr>
          <w:rFonts w:ascii="Century Gothic" w:hAnsi="Century Gothic" w:cs="Arial"/>
          <w:color w:val="000000"/>
          <w:spacing w:val="-1"/>
          <w:sz w:val="22"/>
          <w:szCs w:val="22"/>
        </w:rPr>
        <w:t>l</w:t>
      </w:r>
      <w:r>
        <w:rPr>
          <w:rFonts w:ascii="Century Gothic" w:hAnsi="Century Gothic" w:cs="Arial"/>
          <w:color w:val="000000"/>
          <w:sz w:val="22"/>
          <w:szCs w:val="22"/>
        </w:rPr>
        <w:t>i</w:t>
      </w:r>
      <w:r>
        <w:rPr>
          <w:rFonts w:ascii="Century Gothic" w:hAnsi="Century Gothic" w:cs="Arial"/>
          <w:color w:val="000000"/>
          <w:spacing w:val="-3"/>
          <w:sz w:val="22"/>
          <w:szCs w:val="22"/>
        </w:rPr>
        <w:t>z</w:t>
      </w:r>
      <w:r>
        <w:rPr>
          <w:rFonts w:ascii="Century Gothic" w:hAnsi="Century Gothic" w:cs="Arial"/>
          <w:color w:val="000000"/>
          <w:sz w:val="22"/>
          <w:szCs w:val="22"/>
        </w:rPr>
        <w:t>a</w:t>
      </w:r>
      <w:r>
        <w:rPr>
          <w:rFonts w:ascii="Century Gothic" w:hAnsi="Century Gothic" w:cs="Arial"/>
          <w:color w:val="000000"/>
          <w:spacing w:val="1"/>
          <w:sz w:val="22"/>
          <w:szCs w:val="22"/>
        </w:rPr>
        <w:t>d</w:t>
      </w:r>
      <w:r>
        <w:rPr>
          <w:rFonts w:ascii="Century Gothic" w:hAnsi="Century Gothic" w:cs="Arial"/>
          <w:color w:val="000000"/>
          <w:sz w:val="22"/>
          <w:szCs w:val="22"/>
        </w:rPr>
        <w:t>a</w:t>
      </w:r>
      <w:r>
        <w:rPr>
          <w:rFonts w:ascii="Century Gothic" w:hAnsi="Century Gothic" w:cs="Arial"/>
          <w:color w:val="000000"/>
          <w:spacing w:val="16"/>
          <w:sz w:val="22"/>
          <w:szCs w:val="22"/>
        </w:rPr>
        <w:t xml:space="preserve"> </w:t>
      </w:r>
      <w:r>
        <w:rPr>
          <w:rFonts w:ascii="Century Gothic" w:hAnsi="Century Gothic" w:cs="Arial"/>
          <w:color w:val="000000"/>
          <w:spacing w:val="1"/>
          <w:sz w:val="22"/>
          <w:szCs w:val="22"/>
        </w:rPr>
        <w:t>pa</w:t>
      </w:r>
      <w:r>
        <w:rPr>
          <w:rFonts w:ascii="Century Gothic" w:hAnsi="Century Gothic" w:cs="Arial"/>
          <w:color w:val="000000"/>
          <w:sz w:val="22"/>
          <w:szCs w:val="22"/>
        </w:rPr>
        <w:t>ra</w:t>
      </w:r>
      <w:r>
        <w:rPr>
          <w:rFonts w:ascii="Century Gothic" w:hAnsi="Century Gothic" w:cs="Arial"/>
          <w:color w:val="000000"/>
          <w:spacing w:val="15"/>
          <w:sz w:val="22"/>
          <w:szCs w:val="22"/>
        </w:rPr>
        <w:t xml:space="preserve"> </w:t>
      </w:r>
      <w:r>
        <w:rPr>
          <w:rFonts w:ascii="Century Gothic" w:hAnsi="Century Gothic" w:cs="Arial"/>
          <w:color w:val="000000"/>
          <w:spacing w:val="1"/>
          <w:sz w:val="22"/>
          <w:szCs w:val="22"/>
        </w:rPr>
        <w:t>ope</w:t>
      </w:r>
      <w:r>
        <w:rPr>
          <w:rFonts w:ascii="Century Gothic" w:hAnsi="Century Gothic" w:cs="Arial"/>
          <w:color w:val="000000"/>
          <w:sz w:val="22"/>
          <w:szCs w:val="22"/>
        </w:rPr>
        <w:t>raci</w:t>
      </w:r>
      <w:r>
        <w:rPr>
          <w:rFonts w:ascii="Century Gothic" w:hAnsi="Century Gothic" w:cs="Arial"/>
          <w:color w:val="000000"/>
          <w:spacing w:val="1"/>
          <w:sz w:val="22"/>
          <w:szCs w:val="22"/>
        </w:rPr>
        <w:t>o</w:t>
      </w:r>
      <w:r>
        <w:rPr>
          <w:rFonts w:ascii="Century Gothic" w:hAnsi="Century Gothic" w:cs="Arial"/>
          <w:color w:val="000000"/>
          <w:spacing w:val="-1"/>
          <w:sz w:val="22"/>
          <w:szCs w:val="22"/>
        </w:rPr>
        <w:t>n</w:t>
      </w:r>
      <w:r>
        <w:rPr>
          <w:rFonts w:ascii="Century Gothic" w:hAnsi="Century Gothic" w:cs="Arial"/>
          <w:color w:val="000000"/>
          <w:sz w:val="22"/>
          <w:szCs w:val="22"/>
        </w:rPr>
        <w:t>es</w:t>
      </w:r>
      <w:r>
        <w:rPr>
          <w:rFonts w:ascii="Century Gothic" w:hAnsi="Century Gothic" w:cs="Arial"/>
          <w:color w:val="000000"/>
          <w:spacing w:val="15"/>
          <w:sz w:val="22"/>
          <w:szCs w:val="22"/>
        </w:rPr>
        <w:t xml:space="preserve"> </w:t>
      </w:r>
      <w:r>
        <w:rPr>
          <w:rFonts w:ascii="Century Gothic" w:hAnsi="Century Gothic" w:cs="Arial"/>
          <w:color w:val="000000"/>
          <w:sz w:val="22"/>
          <w:szCs w:val="22"/>
        </w:rPr>
        <w:t>ile</w:t>
      </w:r>
      <w:r>
        <w:rPr>
          <w:rFonts w:ascii="Century Gothic" w:hAnsi="Century Gothic" w:cs="Arial"/>
          <w:color w:val="000000"/>
          <w:spacing w:val="-1"/>
          <w:sz w:val="22"/>
          <w:szCs w:val="22"/>
        </w:rPr>
        <w:t>g</w:t>
      </w:r>
      <w:r>
        <w:rPr>
          <w:rFonts w:ascii="Century Gothic" w:hAnsi="Century Gothic" w:cs="Arial"/>
          <w:color w:val="000000"/>
          <w:sz w:val="22"/>
          <w:szCs w:val="22"/>
        </w:rPr>
        <w:t>al</w:t>
      </w:r>
      <w:r>
        <w:rPr>
          <w:rFonts w:ascii="Century Gothic" w:hAnsi="Century Gothic" w:cs="Arial"/>
          <w:color w:val="000000"/>
          <w:spacing w:val="1"/>
          <w:sz w:val="22"/>
          <w:szCs w:val="22"/>
        </w:rPr>
        <w:t>e</w:t>
      </w:r>
      <w:r>
        <w:rPr>
          <w:rFonts w:ascii="Century Gothic" w:hAnsi="Century Gothic" w:cs="Arial"/>
          <w:color w:val="000000"/>
          <w:sz w:val="22"/>
          <w:szCs w:val="22"/>
        </w:rPr>
        <w:t>s,</w:t>
      </w:r>
      <w:r>
        <w:rPr>
          <w:rFonts w:ascii="Century Gothic" w:hAnsi="Century Gothic" w:cs="Arial"/>
          <w:color w:val="000000"/>
          <w:spacing w:val="15"/>
          <w:sz w:val="22"/>
          <w:szCs w:val="22"/>
        </w:rPr>
        <w:t xml:space="preserve"> </w:t>
      </w:r>
      <w:r>
        <w:rPr>
          <w:rFonts w:ascii="Century Gothic" w:hAnsi="Century Gothic" w:cs="Arial"/>
          <w:color w:val="000000"/>
          <w:spacing w:val="1"/>
          <w:sz w:val="22"/>
          <w:szCs w:val="22"/>
        </w:rPr>
        <w:t>u</w:t>
      </w:r>
      <w:r>
        <w:rPr>
          <w:rFonts w:ascii="Century Gothic" w:hAnsi="Century Gothic" w:cs="Arial"/>
          <w:color w:val="000000"/>
          <w:sz w:val="22"/>
          <w:szCs w:val="22"/>
        </w:rPr>
        <w:t>n</w:t>
      </w:r>
      <w:r>
        <w:rPr>
          <w:rFonts w:ascii="Century Gothic" w:hAnsi="Century Gothic" w:cs="Arial"/>
          <w:color w:val="000000"/>
          <w:spacing w:val="-1"/>
          <w:sz w:val="22"/>
          <w:szCs w:val="22"/>
        </w:rPr>
        <w:t>a</w:t>
      </w:r>
      <w:r>
        <w:rPr>
          <w:rFonts w:ascii="Century Gothic" w:hAnsi="Century Gothic" w:cs="Arial"/>
          <w:sz w:val="22"/>
          <w:szCs w:val="22"/>
        </w:rPr>
        <w:t xml:space="preserve"> </w:t>
      </w:r>
      <w:r>
        <w:rPr>
          <w:rFonts w:ascii="Century Gothic" w:hAnsi="Century Gothic" w:cs="Arial"/>
          <w:color w:val="000000"/>
          <w:spacing w:val="-2"/>
          <w:sz w:val="22"/>
          <w:szCs w:val="22"/>
        </w:rPr>
        <w:t>v</w:t>
      </w:r>
      <w:r>
        <w:rPr>
          <w:rFonts w:ascii="Century Gothic" w:hAnsi="Century Gothic" w:cs="Arial"/>
          <w:color w:val="000000"/>
          <w:spacing w:val="2"/>
          <w:sz w:val="22"/>
          <w:szCs w:val="22"/>
        </w:rPr>
        <w:t>e</w:t>
      </w:r>
      <w:r>
        <w:rPr>
          <w:rFonts w:ascii="Century Gothic" w:hAnsi="Century Gothic" w:cs="Arial"/>
          <w:color w:val="000000"/>
          <w:sz w:val="22"/>
          <w:szCs w:val="22"/>
        </w:rPr>
        <w:t>z</w:t>
      </w:r>
      <w:r>
        <w:rPr>
          <w:rFonts w:ascii="Century Gothic" w:hAnsi="Century Gothic" w:cs="Arial"/>
          <w:color w:val="000000"/>
          <w:spacing w:val="95"/>
          <w:sz w:val="22"/>
          <w:szCs w:val="22"/>
        </w:rPr>
        <w:t xml:space="preserve"> </w:t>
      </w:r>
      <w:r>
        <w:rPr>
          <w:rFonts w:ascii="Century Gothic" w:hAnsi="Century Gothic" w:cs="Arial"/>
          <w:color w:val="000000"/>
          <w:sz w:val="22"/>
          <w:szCs w:val="22"/>
        </w:rPr>
        <w:t>el</w:t>
      </w:r>
      <w:r>
        <w:rPr>
          <w:rFonts w:ascii="Century Gothic" w:hAnsi="Century Gothic" w:cs="Arial"/>
          <w:color w:val="000000"/>
          <w:spacing w:val="96"/>
          <w:sz w:val="22"/>
          <w:szCs w:val="22"/>
        </w:rPr>
        <w:t xml:space="preserve"> </w:t>
      </w:r>
      <w:r>
        <w:rPr>
          <w:rFonts w:ascii="Century Gothic" w:hAnsi="Century Gothic" w:cs="Arial"/>
          <w:color w:val="000000"/>
          <w:sz w:val="22"/>
          <w:szCs w:val="22"/>
        </w:rPr>
        <w:t>C</w:t>
      </w:r>
      <w:r>
        <w:rPr>
          <w:rFonts w:ascii="Century Gothic" w:hAnsi="Century Gothic" w:cs="Arial"/>
          <w:color w:val="000000"/>
          <w:spacing w:val="1"/>
          <w:sz w:val="22"/>
          <w:szCs w:val="22"/>
        </w:rPr>
        <w:t>on</w:t>
      </w:r>
      <w:r>
        <w:rPr>
          <w:rFonts w:ascii="Century Gothic" w:hAnsi="Century Gothic" w:cs="Arial"/>
          <w:color w:val="000000"/>
          <w:sz w:val="22"/>
          <w:szCs w:val="22"/>
        </w:rPr>
        <w:t>s</w:t>
      </w:r>
      <w:r>
        <w:rPr>
          <w:rFonts w:ascii="Century Gothic" w:hAnsi="Century Gothic" w:cs="Arial"/>
          <w:color w:val="000000"/>
          <w:spacing w:val="1"/>
          <w:sz w:val="22"/>
          <w:szCs w:val="22"/>
        </w:rPr>
        <w:t>e</w:t>
      </w:r>
      <w:r>
        <w:rPr>
          <w:rFonts w:ascii="Century Gothic" w:hAnsi="Century Gothic" w:cs="Arial"/>
          <w:color w:val="000000"/>
          <w:sz w:val="22"/>
          <w:szCs w:val="22"/>
        </w:rPr>
        <w:t>jo</w:t>
      </w:r>
      <w:r>
        <w:rPr>
          <w:rFonts w:ascii="Century Gothic" w:hAnsi="Century Gothic" w:cs="Arial"/>
          <w:color w:val="000000"/>
          <w:spacing w:val="97"/>
          <w:sz w:val="22"/>
          <w:szCs w:val="22"/>
        </w:rPr>
        <w:t xml:space="preserve"> </w:t>
      </w:r>
      <w:r>
        <w:rPr>
          <w:rFonts w:ascii="Century Gothic" w:hAnsi="Century Gothic" w:cs="Arial"/>
          <w:color w:val="000000"/>
          <w:sz w:val="22"/>
          <w:szCs w:val="22"/>
        </w:rPr>
        <w:t>Nac</w:t>
      </w:r>
      <w:r>
        <w:rPr>
          <w:rFonts w:ascii="Century Gothic" w:hAnsi="Century Gothic" w:cs="Arial"/>
          <w:color w:val="000000"/>
          <w:spacing w:val="-2"/>
          <w:sz w:val="22"/>
          <w:szCs w:val="22"/>
        </w:rPr>
        <w:t>i</w:t>
      </w:r>
      <w:r>
        <w:rPr>
          <w:rFonts w:ascii="Century Gothic" w:hAnsi="Century Gothic" w:cs="Arial"/>
          <w:color w:val="000000"/>
          <w:sz w:val="22"/>
          <w:szCs w:val="22"/>
        </w:rPr>
        <w:t>o</w:t>
      </w:r>
      <w:r>
        <w:rPr>
          <w:rFonts w:ascii="Century Gothic" w:hAnsi="Century Gothic" w:cs="Arial"/>
          <w:color w:val="000000"/>
          <w:spacing w:val="1"/>
          <w:sz w:val="22"/>
          <w:szCs w:val="22"/>
        </w:rPr>
        <w:t>na</w:t>
      </w:r>
      <w:r>
        <w:rPr>
          <w:rFonts w:ascii="Century Gothic" w:hAnsi="Century Gothic" w:cs="Arial"/>
          <w:color w:val="000000"/>
          <w:sz w:val="22"/>
          <w:szCs w:val="22"/>
        </w:rPr>
        <w:t>l</w:t>
      </w:r>
      <w:r>
        <w:rPr>
          <w:rFonts w:ascii="Century Gothic" w:hAnsi="Century Gothic" w:cs="Arial"/>
          <w:color w:val="000000"/>
          <w:spacing w:val="96"/>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z w:val="22"/>
          <w:szCs w:val="22"/>
        </w:rPr>
        <w:t>le</w:t>
      </w:r>
      <w:r>
        <w:rPr>
          <w:rFonts w:ascii="Century Gothic" w:hAnsi="Century Gothic" w:cs="Arial"/>
          <w:color w:val="000000"/>
          <w:spacing w:val="-1"/>
          <w:sz w:val="22"/>
          <w:szCs w:val="22"/>
        </w:rPr>
        <w:t>c</w:t>
      </w:r>
      <w:r>
        <w:rPr>
          <w:rFonts w:ascii="Century Gothic" w:hAnsi="Century Gothic" w:cs="Arial"/>
          <w:color w:val="000000"/>
          <w:sz w:val="22"/>
          <w:szCs w:val="22"/>
        </w:rPr>
        <w:t>toral</w:t>
      </w:r>
      <w:r>
        <w:rPr>
          <w:rFonts w:ascii="Century Gothic" w:hAnsi="Century Gothic" w:cs="Arial"/>
          <w:color w:val="000000"/>
          <w:spacing w:val="96"/>
          <w:sz w:val="22"/>
          <w:szCs w:val="22"/>
        </w:rPr>
        <w:t xml:space="preserve"> </w:t>
      </w:r>
      <w:r>
        <w:rPr>
          <w:rFonts w:ascii="Century Gothic" w:hAnsi="Century Gothic" w:cs="Arial"/>
          <w:color w:val="000000"/>
          <w:spacing w:val="1"/>
          <w:sz w:val="22"/>
          <w:szCs w:val="22"/>
        </w:rPr>
        <w:t>e</w:t>
      </w:r>
      <w:r>
        <w:rPr>
          <w:rFonts w:ascii="Century Gothic" w:hAnsi="Century Gothic" w:cs="Arial"/>
          <w:color w:val="000000"/>
          <w:spacing w:val="-1"/>
          <w:sz w:val="22"/>
          <w:szCs w:val="22"/>
        </w:rPr>
        <w:t>x</w:t>
      </w:r>
      <w:r>
        <w:rPr>
          <w:rFonts w:ascii="Century Gothic" w:hAnsi="Century Gothic" w:cs="Arial"/>
          <w:color w:val="000000"/>
          <w:sz w:val="22"/>
          <w:szCs w:val="22"/>
        </w:rPr>
        <w:t>pida</w:t>
      </w:r>
      <w:r>
        <w:rPr>
          <w:rFonts w:ascii="Century Gothic" w:hAnsi="Century Gothic" w:cs="Arial"/>
          <w:color w:val="000000"/>
          <w:spacing w:val="95"/>
          <w:sz w:val="22"/>
          <w:szCs w:val="22"/>
        </w:rPr>
        <w:t xml:space="preserve"> </w:t>
      </w:r>
      <w:r>
        <w:rPr>
          <w:rFonts w:ascii="Century Gothic" w:hAnsi="Century Gothic" w:cs="Arial"/>
          <w:color w:val="000000"/>
          <w:sz w:val="22"/>
          <w:szCs w:val="22"/>
        </w:rPr>
        <w:t>la</w:t>
      </w:r>
      <w:r>
        <w:rPr>
          <w:rFonts w:ascii="Century Gothic" w:hAnsi="Century Gothic" w:cs="Arial"/>
          <w:color w:val="000000"/>
          <w:spacing w:val="97"/>
          <w:sz w:val="22"/>
          <w:szCs w:val="22"/>
        </w:rPr>
        <w:t xml:space="preserve"> </w:t>
      </w:r>
      <w:r>
        <w:rPr>
          <w:rFonts w:ascii="Century Gothic" w:hAnsi="Century Gothic" w:cs="Arial"/>
          <w:color w:val="000000"/>
          <w:sz w:val="22"/>
          <w:szCs w:val="22"/>
        </w:rPr>
        <w:t>lista</w:t>
      </w:r>
      <w:r>
        <w:rPr>
          <w:rFonts w:ascii="Century Gothic" w:hAnsi="Century Gothic" w:cs="Arial"/>
          <w:color w:val="000000"/>
          <w:spacing w:val="97"/>
          <w:sz w:val="22"/>
          <w:szCs w:val="22"/>
        </w:rPr>
        <w:t xml:space="preserve"> </w:t>
      </w:r>
      <w:r>
        <w:rPr>
          <w:rFonts w:ascii="Century Gothic" w:hAnsi="Century Gothic" w:cs="Arial"/>
          <w:color w:val="000000"/>
          <w:sz w:val="22"/>
          <w:szCs w:val="22"/>
        </w:rPr>
        <w:t>o</w:t>
      </w:r>
      <w:r>
        <w:rPr>
          <w:rFonts w:ascii="Century Gothic" w:hAnsi="Century Gothic" w:cs="Arial"/>
          <w:color w:val="000000"/>
          <w:spacing w:val="1"/>
          <w:sz w:val="22"/>
          <w:szCs w:val="22"/>
        </w:rPr>
        <w:t>f</w:t>
      </w:r>
      <w:r>
        <w:rPr>
          <w:rFonts w:ascii="Century Gothic" w:hAnsi="Century Gothic" w:cs="Arial"/>
          <w:color w:val="000000"/>
          <w:sz w:val="22"/>
          <w:szCs w:val="22"/>
        </w:rPr>
        <w:t>icial</w:t>
      </w:r>
      <w:r>
        <w:rPr>
          <w:rFonts w:ascii="Century Gothic" w:hAnsi="Century Gothic" w:cs="Arial"/>
          <w:color w:val="000000"/>
          <w:spacing w:val="96"/>
          <w:sz w:val="22"/>
          <w:szCs w:val="22"/>
        </w:rPr>
        <w:t xml:space="preserve"> </w:t>
      </w:r>
      <w:r>
        <w:rPr>
          <w:rFonts w:ascii="Century Gothic" w:hAnsi="Century Gothic" w:cs="Arial"/>
          <w:color w:val="000000"/>
          <w:sz w:val="22"/>
          <w:szCs w:val="22"/>
        </w:rPr>
        <w:t>de</w:t>
      </w:r>
      <w:r>
        <w:rPr>
          <w:rFonts w:ascii="Century Gothic" w:hAnsi="Century Gothic" w:cs="Arial"/>
          <w:color w:val="000000"/>
          <w:spacing w:val="96"/>
          <w:sz w:val="22"/>
          <w:szCs w:val="22"/>
        </w:rPr>
        <w:t xml:space="preserve"> </w:t>
      </w:r>
      <w:r>
        <w:rPr>
          <w:rFonts w:ascii="Century Gothic" w:hAnsi="Century Gothic" w:cs="Arial"/>
          <w:color w:val="000000"/>
          <w:sz w:val="22"/>
          <w:szCs w:val="22"/>
        </w:rPr>
        <w:t>l</w:t>
      </w:r>
      <w:r>
        <w:rPr>
          <w:rFonts w:ascii="Century Gothic" w:hAnsi="Century Gothic" w:cs="Arial"/>
          <w:color w:val="000000"/>
          <w:spacing w:val="1"/>
          <w:sz w:val="22"/>
          <w:szCs w:val="22"/>
        </w:rPr>
        <w:t>o</w:t>
      </w:r>
      <w:r>
        <w:rPr>
          <w:rFonts w:ascii="Century Gothic" w:hAnsi="Century Gothic" w:cs="Arial"/>
          <w:color w:val="000000"/>
          <w:sz w:val="22"/>
          <w:szCs w:val="22"/>
        </w:rPr>
        <w:t>s</w:t>
      </w:r>
      <w:r>
        <w:rPr>
          <w:rFonts w:ascii="Century Gothic" w:hAnsi="Century Gothic" w:cs="Arial"/>
          <w:color w:val="000000"/>
          <w:spacing w:val="96"/>
          <w:sz w:val="22"/>
          <w:szCs w:val="22"/>
        </w:rPr>
        <w:t xml:space="preserve"> </w:t>
      </w:r>
      <w:r>
        <w:rPr>
          <w:rFonts w:ascii="Century Gothic" w:hAnsi="Century Gothic" w:cs="Arial"/>
          <w:color w:val="000000"/>
          <w:sz w:val="22"/>
          <w:szCs w:val="22"/>
        </w:rPr>
        <w:t>c</w:t>
      </w:r>
      <w:r>
        <w:rPr>
          <w:rFonts w:ascii="Century Gothic" w:hAnsi="Century Gothic" w:cs="Arial"/>
          <w:color w:val="000000"/>
          <w:spacing w:val="1"/>
          <w:sz w:val="22"/>
          <w:szCs w:val="22"/>
        </w:rPr>
        <w:t>a</w:t>
      </w:r>
      <w:r>
        <w:rPr>
          <w:rFonts w:ascii="Century Gothic" w:hAnsi="Century Gothic" w:cs="Arial"/>
          <w:color w:val="000000"/>
          <w:sz w:val="22"/>
          <w:szCs w:val="22"/>
        </w:rPr>
        <w:t>ndid</w:t>
      </w:r>
      <w:r>
        <w:rPr>
          <w:rFonts w:ascii="Century Gothic" w:hAnsi="Century Gothic" w:cs="Arial"/>
          <w:color w:val="000000"/>
          <w:spacing w:val="1"/>
          <w:sz w:val="22"/>
          <w:szCs w:val="22"/>
        </w:rPr>
        <w:t>a</w:t>
      </w:r>
      <w:r>
        <w:rPr>
          <w:rFonts w:ascii="Century Gothic" w:hAnsi="Century Gothic" w:cs="Arial"/>
          <w:color w:val="000000"/>
          <w:spacing w:val="-1"/>
          <w:sz w:val="22"/>
          <w:szCs w:val="22"/>
        </w:rPr>
        <w:t>t</w:t>
      </w:r>
      <w:r>
        <w:rPr>
          <w:rFonts w:ascii="Century Gothic" w:hAnsi="Century Gothic" w:cs="Arial"/>
          <w:color w:val="000000"/>
          <w:sz w:val="22"/>
          <w:szCs w:val="22"/>
        </w:rPr>
        <w:t>o</w:t>
      </w:r>
      <w:r>
        <w:rPr>
          <w:rFonts w:ascii="Century Gothic" w:hAnsi="Century Gothic" w:cs="Arial"/>
          <w:color w:val="000000"/>
          <w:spacing w:val="-1"/>
          <w:sz w:val="22"/>
          <w:szCs w:val="22"/>
        </w:rPr>
        <w:t>s</w:t>
      </w:r>
      <w:r>
        <w:rPr>
          <w:rFonts w:ascii="Century Gothic" w:hAnsi="Century Gothic" w:cs="Arial"/>
          <w:color w:val="000000"/>
          <w:sz w:val="22"/>
          <w:szCs w:val="22"/>
        </w:rPr>
        <w:t>,</w:t>
      </w:r>
      <w:r>
        <w:rPr>
          <w:rFonts w:ascii="Century Gothic" w:hAnsi="Century Gothic" w:cs="Arial"/>
          <w:sz w:val="22"/>
          <w:szCs w:val="22"/>
        </w:rPr>
        <w:t xml:space="preserve"> </w:t>
      </w:r>
      <w:r>
        <w:rPr>
          <w:rFonts w:ascii="Century Gothic" w:hAnsi="Century Gothic" w:cs="Arial"/>
          <w:color w:val="000000"/>
          <w:sz w:val="22"/>
          <w:szCs w:val="22"/>
        </w:rPr>
        <w:t>d</w:t>
      </w:r>
      <w:r>
        <w:rPr>
          <w:rFonts w:ascii="Century Gothic" w:hAnsi="Century Gothic" w:cs="Arial"/>
          <w:color w:val="000000"/>
          <w:spacing w:val="1"/>
          <w:sz w:val="22"/>
          <w:szCs w:val="22"/>
        </w:rPr>
        <w:t>eb</w:t>
      </w:r>
      <w:r>
        <w:rPr>
          <w:rFonts w:ascii="Century Gothic" w:hAnsi="Century Gothic" w:cs="Arial"/>
          <w:color w:val="000000"/>
          <w:sz w:val="22"/>
          <w:szCs w:val="22"/>
        </w:rPr>
        <w:t>i</w:t>
      </w:r>
      <w:r>
        <w:rPr>
          <w:rFonts w:ascii="Century Gothic" w:hAnsi="Century Gothic" w:cs="Arial"/>
          <w:color w:val="000000"/>
          <w:spacing w:val="-1"/>
          <w:sz w:val="22"/>
          <w:szCs w:val="22"/>
        </w:rPr>
        <w:t>d</w:t>
      </w:r>
      <w:r>
        <w:rPr>
          <w:rFonts w:ascii="Century Gothic" w:hAnsi="Century Gothic" w:cs="Arial"/>
          <w:color w:val="000000"/>
          <w:sz w:val="22"/>
          <w:szCs w:val="22"/>
        </w:rPr>
        <w:t>ame</w:t>
      </w:r>
      <w:r>
        <w:rPr>
          <w:rFonts w:ascii="Century Gothic" w:hAnsi="Century Gothic" w:cs="Arial"/>
          <w:color w:val="000000"/>
          <w:spacing w:val="1"/>
          <w:sz w:val="22"/>
          <w:szCs w:val="22"/>
        </w:rPr>
        <w:t>n</w:t>
      </w:r>
      <w:r>
        <w:rPr>
          <w:rFonts w:ascii="Century Gothic" w:hAnsi="Century Gothic" w:cs="Arial"/>
          <w:color w:val="000000"/>
          <w:spacing w:val="-1"/>
          <w:sz w:val="22"/>
          <w:szCs w:val="22"/>
        </w:rPr>
        <w:t>t</w:t>
      </w:r>
      <w:r>
        <w:rPr>
          <w:rFonts w:ascii="Century Gothic" w:hAnsi="Century Gothic" w:cs="Arial"/>
          <w:color w:val="000000"/>
          <w:sz w:val="22"/>
          <w:szCs w:val="22"/>
        </w:rPr>
        <w:t>e</w:t>
      </w:r>
      <w:r>
        <w:rPr>
          <w:rFonts w:ascii="Century Gothic" w:hAnsi="Century Gothic" w:cs="Arial"/>
          <w:color w:val="000000"/>
          <w:spacing w:val="13"/>
          <w:sz w:val="22"/>
          <w:szCs w:val="22"/>
        </w:rPr>
        <w:t xml:space="preserve"> </w:t>
      </w:r>
      <w:r>
        <w:rPr>
          <w:rFonts w:ascii="Century Gothic" w:hAnsi="Century Gothic" w:cs="Arial"/>
          <w:color w:val="000000"/>
          <w:sz w:val="22"/>
          <w:szCs w:val="22"/>
        </w:rPr>
        <w:t>ident</w:t>
      </w:r>
      <w:r>
        <w:rPr>
          <w:rFonts w:ascii="Century Gothic" w:hAnsi="Century Gothic" w:cs="Arial"/>
          <w:color w:val="000000"/>
          <w:spacing w:val="-2"/>
          <w:sz w:val="22"/>
          <w:szCs w:val="22"/>
        </w:rPr>
        <w:t>i</w:t>
      </w:r>
      <w:r>
        <w:rPr>
          <w:rFonts w:ascii="Century Gothic" w:hAnsi="Century Gothic" w:cs="Arial"/>
          <w:color w:val="000000"/>
          <w:spacing w:val="2"/>
          <w:sz w:val="22"/>
          <w:szCs w:val="22"/>
        </w:rPr>
        <w:t>f</w:t>
      </w:r>
      <w:r>
        <w:rPr>
          <w:rFonts w:ascii="Century Gothic" w:hAnsi="Century Gothic" w:cs="Arial"/>
          <w:color w:val="000000"/>
          <w:sz w:val="22"/>
          <w:szCs w:val="22"/>
        </w:rPr>
        <w:t>ic</w:t>
      </w:r>
      <w:r>
        <w:rPr>
          <w:rFonts w:ascii="Century Gothic" w:hAnsi="Century Gothic" w:cs="Arial"/>
          <w:color w:val="000000"/>
          <w:spacing w:val="-1"/>
          <w:sz w:val="22"/>
          <w:szCs w:val="22"/>
        </w:rPr>
        <w:t>a</w:t>
      </w:r>
      <w:r>
        <w:rPr>
          <w:rFonts w:ascii="Century Gothic" w:hAnsi="Century Gothic" w:cs="Arial"/>
          <w:color w:val="000000"/>
          <w:sz w:val="22"/>
          <w:szCs w:val="22"/>
        </w:rPr>
        <w:t>d</w:t>
      </w:r>
      <w:r>
        <w:rPr>
          <w:rFonts w:ascii="Century Gothic" w:hAnsi="Century Gothic" w:cs="Arial"/>
          <w:color w:val="000000"/>
          <w:spacing w:val="1"/>
          <w:sz w:val="22"/>
          <w:szCs w:val="22"/>
        </w:rPr>
        <w:t>o</w:t>
      </w:r>
      <w:r>
        <w:rPr>
          <w:rFonts w:ascii="Century Gothic" w:hAnsi="Century Gothic" w:cs="Arial"/>
          <w:color w:val="000000"/>
          <w:sz w:val="22"/>
          <w:szCs w:val="22"/>
        </w:rPr>
        <w:t>s,</w:t>
      </w:r>
      <w:r>
        <w:rPr>
          <w:rFonts w:ascii="Century Gothic" w:hAnsi="Century Gothic" w:cs="Arial"/>
          <w:color w:val="000000"/>
          <w:spacing w:val="13"/>
          <w:sz w:val="22"/>
          <w:szCs w:val="22"/>
        </w:rPr>
        <w:t xml:space="preserve"> </w:t>
      </w:r>
      <w:r>
        <w:rPr>
          <w:rFonts w:ascii="Century Gothic" w:hAnsi="Century Gothic" w:cs="Arial"/>
          <w:color w:val="000000"/>
          <w:sz w:val="22"/>
          <w:szCs w:val="22"/>
        </w:rPr>
        <w:t>se</w:t>
      </w:r>
      <w:r>
        <w:rPr>
          <w:rFonts w:ascii="Century Gothic" w:hAnsi="Century Gothic" w:cs="Arial"/>
          <w:color w:val="000000"/>
          <w:spacing w:val="14"/>
          <w:sz w:val="22"/>
          <w:szCs w:val="22"/>
        </w:rPr>
        <w:t xml:space="preserve"> validaran.</w:t>
      </w:r>
    </w:p>
    <w:p w14:paraId="6A8FB264">
      <w:pPr>
        <w:pStyle w:val="65"/>
        <w:autoSpaceDE w:val="0"/>
        <w:autoSpaceDN w:val="0"/>
        <w:adjustRightInd w:val="0"/>
        <w:ind w:left="1080"/>
        <w:rPr>
          <w:rFonts w:ascii="Century Gothic" w:hAnsi="Century Gothic" w:cs="Arial" w:eastAsiaTheme="minorHAnsi"/>
          <w:sz w:val="22"/>
          <w:szCs w:val="22"/>
          <w:highlight w:val="yellow"/>
          <w:lang w:val="es-MX" w:eastAsia="en-US"/>
        </w:rPr>
      </w:pPr>
    </w:p>
    <w:p w14:paraId="25BBA1BD">
      <w:pPr>
        <w:pStyle w:val="65"/>
        <w:widowControl w:val="0"/>
        <w:numPr>
          <w:ilvl w:val="0"/>
          <w:numId w:val="38"/>
        </w:numPr>
        <w:autoSpaceDE w:val="0"/>
        <w:autoSpaceDN w:val="0"/>
        <w:adjustRightInd w:val="0"/>
        <w:ind w:right="5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Una vez concluido con el procedimiento de Vinculación y al momento de registrar la información en el aplicativo, los clientes clasificados como PEPS, deben tener su correspondiente marca.</w:t>
      </w:r>
    </w:p>
    <w:p w14:paraId="2A38895B">
      <w:pPr>
        <w:pStyle w:val="65"/>
        <w:rPr>
          <w:rFonts w:ascii="Century Gothic" w:hAnsi="Century Gothic" w:cs="Arial"/>
          <w:sz w:val="22"/>
          <w:szCs w:val="22"/>
          <w:lang w:val="es-CO" w:eastAsia="es-CO"/>
        </w:rPr>
      </w:pPr>
    </w:p>
    <w:p w14:paraId="7BF5AF47">
      <w:pPr>
        <w:pStyle w:val="65"/>
        <w:numPr>
          <w:ilvl w:val="0"/>
          <w:numId w:val="38"/>
        </w:numPr>
        <w:rPr>
          <w:rFonts w:ascii="Century Gothic" w:hAnsi="Century Gothic"/>
          <w:sz w:val="22"/>
          <w:szCs w:val="22"/>
        </w:rPr>
      </w:pPr>
      <w:r>
        <w:rPr>
          <w:rFonts w:ascii="Century Gothic" w:hAnsi="Century Gothic" w:cs="ITC Franklin Gothic Std Book"/>
          <w:color w:val="000000"/>
          <w:sz w:val="22"/>
          <w:szCs w:val="22"/>
        </w:rPr>
        <w:t>Se debe dejar evidencia de las verificaciones efectuadas en diferentes listas res</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trictivas o consultas en bases de datos sobre la vinculación o actualización de los asociados o relacionados contractuales</w:t>
      </w:r>
      <w:r>
        <w:rPr>
          <w:rFonts w:ascii="Century Gothic" w:hAnsi="Century Gothic" w:cs="ITC Franklin Gothic Std Book" w:eastAsiaTheme="minorHAnsi"/>
          <w:color w:val="000000"/>
          <w:sz w:val="22"/>
          <w:szCs w:val="22"/>
          <w:lang w:eastAsia="en-US"/>
        </w:rPr>
        <w:t xml:space="preserve"> considerados</w:t>
      </w:r>
      <w:r>
        <w:rPr>
          <w:rFonts w:ascii="Century Gothic" w:hAnsi="Century Gothic" w:cs="ITC Franklin Gothic Std Book"/>
          <w:color w:val="000000"/>
          <w:sz w:val="22"/>
          <w:szCs w:val="22"/>
        </w:rPr>
        <w:t xml:space="preserve"> PEP. En caso de que se presenten resul</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tados positivos que pudieran estar relacionados con el riesgo de LA/FT, deberá re</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 xml:space="preserve">portarse este hecho al Oficial de Cumplimiento en forma inmediata de acuerdo con </w:t>
      </w:r>
      <w:r>
        <w:rPr>
          <w:rFonts w:ascii="Century Gothic" w:hAnsi="Century Gothic" w:cs="ITC Franklin Gothic Std Book"/>
          <w:bCs/>
          <w:color w:val="000000"/>
          <w:sz w:val="22"/>
          <w:szCs w:val="22"/>
        </w:rPr>
        <w:t>el manual del SARLAFT.</w:t>
      </w:r>
    </w:p>
    <w:p w14:paraId="1B52241E">
      <w:pPr>
        <w:rPr>
          <w:rFonts w:ascii="Century Gothic" w:hAnsi="Century Gothic"/>
          <w:sz w:val="22"/>
          <w:szCs w:val="22"/>
          <w:lang w:val="es-ES"/>
        </w:rPr>
      </w:pPr>
    </w:p>
    <w:p w14:paraId="394046F9">
      <w:p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Sanciones Financieras Dirigidas</w:t>
      </w:r>
    </w:p>
    <w:p w14:paraId="71EFA182">
      <w:pPr>
        <w:pStyle w:val="65"/>
        <w:autoSpaceDE w:val="0"/>
        <w:autoSpaceDN w:val="0"/>
        <w:adjustRightInd w:val="0"/>
        <w:ind w:left="720"/>
        <w:rPr>
          <w:rFonts w:ascii="Century Gothic" w:hAnsi="Century Gothic" w:cs="Arial"/>
          <w:b/>
          <w:bCs/>
          <w:sz w:val="22"/>
          <w:szCs w:val="22"/>
          <w:lang w:eastAsia="es-CO"/>
        </w:rPr>
      </w:pPr>
    </w:p>
    <w:p w14:paraId="1113FD61">
      <w:pPr>
        <w:autoSpaceDE w:val="0"/>
        <w:autoSpaceDN w:val="0"/>
        <w:adjustRightInd w:val="0"/>
        <w:rPr>
          <w:rFonts w:ascii="Century Gothic" w:hAnsi="Century Gothic" w:cs="Arial"/>
          <w:bCs/>
          <w:sz w:val="22"/>
          <w:szCs w:val="22"/>
          <w:lang w:eastAsia="es-CO"/>
        </w:rPr>
      </w:pPr>
      <w:r>
        <w:rPr>
          <w:rFonts w:ascii="Century Gothic" w:hAnsi="Century Gothic" w:cs="Arial"/>
          <w:bCs/>
          <w:sz w:val="22"/>
          <w:szCs w:val="22"/>
          <w:lang w:eastAsia="es-CO"/>
        </w:rPr>
        <w:t xml:space="preserve">Las sanciones financieras dirigidas hacen referencia tanto al congelamiento de activos como las prohibiciones para prevenir que los fondos u otros activos sean suministrados directa o indirectamente, para beneficio de las personas y entidades designadas </w:t>
      </w:r>
      <w:r>
        <w:rPr>
          <w:rFonts w:ascii="Century Gothic" w:hAnsi="Century Gothic" w:cs="Arial"/>
          <w:sz w:val="22"/>
          <w:szCs w:val="22"/>
          <w:lang w:eastAsia="es-CO"/>
        </w:rPr>
        <w:t>por el Consejo de Seguridad de las Naciones Unidas</w:t>
      </w:r>
      <w:r>
        <w:rPr>
          <w:rFonts w:ascii="Century Gothic" w:hAnsi="Century Gothic" w:cs="Arial"/>
          <w:bCs/>
          <w:sz w:val="22"/>
          <w:szCs w:val="22"/>
          <w:lang w:eastAsia="es-CO"/>
        </w:rPr>
        <w:t>.</w:t>
      </w:r>
    </w:p>
    <w:p w14:paraId="46EC1D2C">
      <w:pPr>
        <w:autoSpaceDE w:val="0"/>
        <w:autoSpaceDN w:val="0"/>
        <w:adjustRightInd w:val="0"/>
        <w:rPr>
          <w:rFonts w:ascii="Century Gothic" w:hAnsi="Century Gothic" w:cs="Arial"/>
          <w:b/>
          <w:bCs/>
          <w:sz w:val="22"/>
          <w:szCs w:val="22"/>
          <w:lang w:eastAsia="es-CO"/>
        </w:rPr>
      </w:pPr>
    </w:p>
    <w:p w14:paraId="6B27FDE5">
      <w:pPr>
        <w:pStyle w:val="65"/>
        <w:numPr>
          <w:ilvl w:val="0"/>
          <w:numId w:val="41"/>
        </w:numPr>
        <w:autoSpaceDE w:val="0"/>
        <w:autoSpaceDN w:val="0"/>
        <w:adjustRightInd w:val="0"/>
        <w:rPr>
          <w:rFonts w:ascii="Century Gothic" w:hAnsi="Century Gothic" w:cs="Arial"/>
          <w:sz w:val="22"/>
          <w:szCs w:val="22"/>
          <w:lang w:eastAsia="es-CO"/>
        </w:rPr>
      </w:pPr>
      <w:r>
        <w:rPr>
          <w:rFonts w:ascii="Century Gothic" w:hAnsi="Century Gothic"/>
          <w:sz w:val="22"/>
          <w:szCs w:val="22"/>
        </w:rPr>
        <w:t>Para garantizar el cumplimiento de las obligaciones internacionales de Colombia relativas a la aplicación de disposiciones sobre congelamiento y prohibición de manejo de fondos u otros activos de personas y entidades designadas por el Consejo de Seguridad de las Naciones Unidas, asociadas a financiación del terrorismo y de la proliferación de armas de destrucción masiva, en consonancia con el artículo 2025 de la Ley 1121 de 2006 y las recomendaciones 6 y 7 del Grupo de Acción Financiera Internacional (GAFI), los sujetos obligados durante la aplicación del SARLAFT, deberán hacer seguimiento y monitoreo permanente a las Resoluciones 1267 de 1999, 1988 de 2011, 1373 de 2001, 1718 y 1737 de 2006 y 2178 de 2014 del Consejo de Seguridad de las Naciones Unidas y a todas aquellas que le sucedan, relacionen y complementen.</w:t>
      </w:r>
    </w:p>
    <w:p w14:paraId="78441D05">
      <w:pPr>
        <w:pStyle w:val="65"/>
        <w:autoSpaceDE w:val="0"/>
        <w:autoSpaceDN w:val="0"/>
        <w:adjustRightInd w:val="0"/>
        <w:ind w:left="501"/>
        <w:rPr>
          <w:rFonts w:ascii="Century Gothic" w:hAnsi="Century Gothic" w:cs="Arial"/>
          <w:sz w:val="22"/>
          <w:szCs w:val="22"/>
          <w:lang w:eastAsia="es-CO"/>
        </w:rPr>
      </w:pPr>
    </w:p>
    <w:p w14:paraId="681A3922">
      <w:pPr>
        <w:pStyle w:val="65"/>
        <w:numPr>
          <w:ilvl w:val="0"/>
          <w:numId w:val="42"/>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En el evento de encontrar cualquier bien, activo, producto, fondo o derecho de titularidad a nombre, administración o control de cualquier país, persona o entidad designada por estas Resoluciones, el Oficial de Cumplimiento o funcionario responsable, de manera inmediata, deberá reportarlo a la UIAF y ponerlo en conocimiento del Fiscal General de la Nación a través de los canales electrónicos seguros que determinen estas entidades, guardando la respectiva reserva legal.</w:t>
      </w:r>
    </w:p>
    <w:p w14:paraId="3BCEC1DA">
      <w:pPr>
        <w:rPr>
          <w:rFonts w:ascii="Century Gothic" w:hAnsi="Century Gothic"/>
          <w:sz w:val="22"/>
          <w:szCs w:val="22"/>
          <w:lang w:val="es-ES"/>
        </w:rPr>
      </w:pPr>
    </w:p>
    <w:p w14:paraId="05EF8F9B">
      <w:p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Países de mayor riesgo</w:t>
      </w:r>
    </w:p>
    <w:p w14:paraId="5264E4C1">
      <w:pPr>
        <w:rPr>
          <w:rFonts w:ascii="Century Gothic" w:hAnsi="Century Gothic"/>
          <w:sz w:val="22"/>
          <w:szCs w:val="22"/>
          <w:lang w:val="es-ES"/>
        </w:rPr>
      </w:pPr>
    </w:p>
    <w:p w14:paraId="03A8A9D7">
      <w:pPr>
        <w:pStyle w:val="65"/>
        <w:numPr>
          <w:ilvl w:val="0"/>
          <w:numId w:val="43"/>
        </w:numPr>
        <w:autoSpaceDE w:val="0"/>
        <w:autoSpaceDN w:val="0"/>
        <w:adjustRightInd w:val="0"/>
        <w:ind w:left="720"/>
        <w:rPr>
          <w:rFonts w:ascii="Century Gothic" w:hAnsi="Century Gothic" w:cs="Arial"/>
          <w:sz w:val="22"/>
          <w:szCs w:val="22"/>
          <w:lang w:eastAsia="es-CO"/>
        </w:rPr>
      </w:pPr>
      <w:r>
        <w:rPr>
          <w:rFonts w:ascii="Century Gothic" w:hAnsi="Century Gothic" w:cs="Arial"/>
          <w:sz w:val="22"/>
          <w:szCs w:val="22"/>
          <w:lang w:eastAsia="es-CO"/>
        </w:rPr>
        <w:t xml:space="preserve">La Entidad establecerá procedimientos más estrictos para la iniciación y seguimiento a las relaciones comerciales y operaciones con personas naturales o jurídicas e instituciones financieras procedentes de países donde no se aplican las recomendaciones del GAFI o no se les aplica suficientemente; </w:t>
      </w:r>
      <w:r>
        <w:rPr>
          <w:rFonts w:ascii="Century Gothic" w:hAnsi="Century Gothic"/>
          <w:sz w:val="22"/>
          <w:szCs w:val="22"/>
        </w:rPr>
        <w:t>en todo caso, la vinculación o cualquier operación que se desarrolle con este tipo de entidades deberá contar con la aprobación del Consejo de Administración y la autorización por parte del Oficial de Cumplimiento.</w:t>
      </w:r>
    </w:p>
    <w:p w14:paraId="78885BE4">
      <w:pPr>
        <w:rPr>
          <w:rFonts w:ascii="Century Gothic" w:hAnsi="Century Gothic"/>
          <w:sz w:val="22"/>
          <w:szCs w:val="22"/>
          <w:lang w:val="es-ES"/>
        </w:rPr>
      </w:pPr>
    </w:p>
    <w:p w14:paraId="223A4246">
      <w:pPr>
        <w:pStyle w:val="65"/>
        <w:numPr>
          <w:ilvl w:val="3"/>
          <w:numId w:val="8"/>
        </w:numPr>
        <w:rPr>
          <w:rFonts w:ascii="Century Gothic" w:hAnsi="Century Gothic"/>
          <w:b/>
          <w:sz w:val="22"/>
          <w:szCs w:val="22"/>
        </w:rPr>
      </w:pPr>
      <w:r>
        <w:rPr>
          <w:rFonts w:ascii="Century Gothic" w:hAnsi="Century Gothic"/>
          <w:b/>
          <w:sz w:val="22"/>
          <w:szCs w:val="22"/>
        </w:rPr>
        <w:t>MECANISMOS</w:t>
      </w:r>
    </w:p>
    <w:p w14:paraId="300D486E">
      <w:pPr>
        <w:rPr>
          <w:rFonts w:ascii="Century Gothic" w:hAnsi="Century Gothic"/>
          <w:b/>
          <w:sz w:val="22"/>
          <w:szCs w:val="22"/>
        </w:rPr>
      </w:pPr>
    </w:p>
    <w:p w14:paraId="08A06501">
      <w:pPr>
        <w:rPr>
          <w:rFonts w:ascii="Century Gothic" w:hAnsi="Century Gothic"/>
          <w:sz w:val="22"/>
          <w:szCs w:val="22"/>
        </w:rPr>
      </w:pPr>
      <w:r>
        <w:rPr>
          <w:rFonts w:ascii="Century Gothic" w:hAnsi="Century Gothic"/>
          <w:sz w:val="22"/>
          <w:szCs w:val="22"/>
        </w:rPr>
        <w:t>El sistema de Administración del Riesgo de Lavado de Activos y Financiación del Terrorismo – SARLAFT en la Entidad, cuenta con un conjunto de mecanismos diseñados para cumplir adecuadamente las normas sobre LA/FT, entre los cuales se identifican los siguientes:</w:t>
      </w:r>
    </w:p>
    <w:p w14:paraId="0C4F7DF4">
      <w:pPr>
        <w:rPr>
          <w:rFonts w:ascii="Century Gothic" w:hAnsi="Century Gothic"/>
          <w:sz w:val="22"/>
          <w:szCs w:val="22"/>
        </w:rPr>
      </w:pPr>
    </w:p>
    <w:p w14:paraId="609FC205">
      <w:pPr>
        <w:pStyle w:val="65"/>
        <w:numPr>
          <w:ilvl w:val="0"/>
          <w:numId w:val="44"/>
        </w:numPr>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Conocimiento de asociado/cliente o relacionado contractual</w:t>
      </w:r>
    </w:p>
    <w:p w14:paraId="6BE3257C">
      <w:pPr>
        <w:pStyle w:val="65"/>
        <w:numPr>
          <w:ilvl w:val="0"/>
          <w:numId w:val="44"/>
        </w:numPr>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Conocimiento del mercado</w:t>
      </w:r>
    </w:p>
    <w:p w14:paraId="042206ED">
      <w:pPr>
        <w:pStyle w:val="65"/>
        <w:numPr>
          <w:ilvl w:val="0"/>
          <w:numId w:val="44"/>
        </w:numPr>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Identificación y análisis de operaciones inusuales</w:t>
      </w:r>
    </w:p>
    <w:p w14:paraId="287075C2">
      <w:pPr>
        <w:pStyle w:val="65"/>
        <w:numPr>
          <w:ilvl w:val="0"/>
          <w:numId w:val="44"/>
        </w:numPr>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Determinación y reporte de operaciones sospechosa</w:t>
      </w:r>
    </w:p>
    <w:p w14:paraId="02AE1FBF">
      <w:pPr>
        <w:autoSpaceDE w:val="0"/>
        <w:autoSpaceDN w:val="0"/>
        <w:adjustRightInd w:val="0"/>
        <w:rPr>
          <w:rFonts w:ascii="Century Gothic" w:hAnsi="Century Gothic"/>
          <w:sz w:val="22"/>
          <w:szCs w:val="22"/>
          <w:lang w:val="es-ES"/>
        </w:rPr>
      </w:pPr>
    </w:p>
    <w:p w14:paraId="44282CAD">
      <w:pPr>
        <w:pStyle w:val="65"/>
        <w:numPr>
          <w:ilvl w:val="1"/>
          <w:numId w:val="12"/>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CONOCIMIENTO DEL ASOCIADO/CLIENTE O RELACIONADO CONTRACTUAL</w:t>
      </w:r>
    </w:p>
    <w:p w14:paraId="5446BB58">
      <w:pPr>
        <w:autoSpaceDE w:val="0"/>
        <w:autoSpaceDN w:val="0"/>
        <w:adjustRightInd w:val="0"/>
        <w:rPr>
          <w:rFonts w:ascii="Century Gothic" w:hAnsi="Century Gothic" w:cs="Arial"/>
          <w:b/>
          <w:bCs/>
          <w:sz w:val="22"/>
          <w:szCs w:val="22"/>
          <w:lang w:eastAsia="es-CO"/>
        </w:rPr>
      </w:pPr>
    </w:p>
    <w:p w14:paraId="388DF849">
      <w:pPr>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El conocimiento del asociado actual o potencial o Relacionado Contractual  es el primero de los mecanismos de prevención y control.</w:t>
      </w:r>
    </w:p>
    <w:p w14:paraId="397ACFC7">
      <w:pPr>
        <w:rPr>
          <w:rFonts w:ascii="Century Gothic" w:hAnsi="Century Gothic" w:cs="Arial" w:eastAsiaTheme="minorHAnsi"/>
          <w:color w:val="000000"/>
          <w:sz w:val="22"/>
          <w:szCs w:val="22"/>
          <w:lang w:eastAsia="en-US"/>
        </w:rPr>
      </w:pPr>
    </w:p>
    <w:p w14:paraId="3781D52B">
      <w:pPr>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El conocimiento del asociado/cliente o relacionado contractual, implica conocer y contar como mínimo con la siguiente información, de manera permanente y debidamente actualizada:</w:t>
      </w:r>
    </w:p>
    <w:p w14:paraId="0ADB9E3A">
      <w:pPr>
        <w:rPr>
          <w:rFonts w:ascii="Century Gothic" w:hAnsi="Century Gothic" w:cs="Arial" w:eastAsiaTheme="minorHAnsi"/>
          <w:sz w:val="22"/>
          <w:szCs w:val="22"/>
          <w:lang w:eastAsia="en-US"/>
        </w:rPr>
      </w:pPr>
    </w:p>
    <w:p w14:paraId="2651D51D">
      <w:pPr>
        <w:autoSpaceDE w:val="0"/>
        <w:autoSpaceDN w:val="0"/>
        <w:adjustRightInd w:val="0"/>
        <w:rPr>
          <w:rFonts w:ascii="Century Gothic" w:hAnsi="Century Gothic" w:cs="Arial" w:eastAsiaTheme="minorHAnsi"/>
          <w:sz w:val="22"/>
          <w:szCs w:val="22"/>
          <w:lang w:eastAsia="en-US"/>
        </w:rPr>
      </w:pPr>
      <w:r>
        <w:rPr>
          <w:rFonts w:ascii="Century Gothic" w:hAnsi="Century Gothic" w:cs="Arial" w:eastAsiaTheme="minorHAnsi"/>
          <w:sz w:val="22"/>
          <w:szCs w:val="22"/>
          <w:lang w:eastAsia="en-US"/>
        </w:rPr>
        <w:t>Identificación del asociado o relacionado contractual: Supone el conocimiento y verificación de los datos exigidos en el formulario de solicitud de vinculación y/o actualización del asociado o relacionado contractual,  que permiten identificar plenamente la persona natural o jurídica que se pretende vincular.</w:t>
      </w:r>
    </w:p>
    <w:p w14:paraId="2C697C4C">
      <w:pPr>
        <w:pStyle w:val="65"/>
        <w:autoSpaceDE w:val="0"/>
        <w:autoSpaceDN w:val="0"/>
        <w:adjustRightInd w:val="0"/>
        <w:ind w:left="360"/>
        <w:rPr>
          <w:rFonts w:ascii="Century Gothic" w:hAnsi="Century Gothic" w:cs="Arial" w:eastAsiaTheme="minorHAnsi"/>
          <w:sz w:val="22"/>
          <w:szCs w:val="22"/>
          <w:lang w:val="es-CO" w:eastAsia="en-US"/>
        </w:rPr>
      </w:pPr>
    </w:p>
    <w:p w14:paraId="65D24361">
      <w:pPr>
        <w:autoSpaceDE w:val="0"/>
        <w:autoSpaceDN w:val="0"/>
        <w:adjustRightInd w:val="0"/>
        <w:rPr>
          <w:rFonts w:ascii="Century Gothic" w:hAnsi="Century Gothic" w:cs="Arial" w:eastAsiaTheme="minorHAnsi"/>
          <w:sz w:val="22"/>
          <w:szCs w:val="22"/>
          <w:lang w:eastAsia="en-US"/>
        </w:rPr>
      </w:pPr>
      <w:r>
        <w:rPr>
          <w:rFonts w:ascii="Century Gothic" w:hAnsi="Century Gothic" w:cs="Arial" w:eastAsiaTheme="minorHAnsi"/>
          <w:sz w:val="22"/>
          <w:szCs w:val="22"/>
          <w:lang w:eastAsia="en-US"/>
        </w:rPr>
        <w:t>Cuando se trate de personas jurídicas, la debida diligencia incluye solicitar y verificar la información requerida en el formulario de solicitud de vinculación y/o actualización del asociado, que contempla la identificación de los socios o accionistas que tengan directa o indirectamente más del 5% de las acciones, capital social o participación en la sociedad que se pretende vincular, así como la identificación de las personas que ocupan puestos directivos jerárquicos en la persona jurídica.</w:t>
      </w:r>
    </w:p>
    <w:p w14:paraId="4E6FBCED">
      <w:pPr>
        <w:pStyle w:val="65"/>
        <w:autoSpaceDE w:val="0"/>
        <w:autoSpaceDN w:val="0"/>
        <w:adjustRightInd w:val="0"/>
        <w:ind w:left="360"/>
        <w:rPr>
          <w:rFonts w:ascii="Century Gothic" w:hAnsi="Century Gothic" w:cs="Arial" w:eastAsiaTheme="minorHAnsi"/>
          <w:sz w:val="22"/>
          <w:szCs w:val="22"/>
          <w:lang w:val="es-CO" w:eastAsia="en-US"/>
        </w:rPr>
      </w:pPr>
    </w:p>
    <w:p w14:paraId="2FAF9E06">
      <w:pPr>
        <w:autoSpaceDE w:val="0"/>
        <w:autoSpaceDN w:val="0"/>
        <w:adjustRightInd w:val="0"/>
        <w:rPr>
          <w:rFonts w:ascii="Century Gothic" w:hAnsi="Century Gothic" w:cs="Arial" w:eastAsiaTheme="minorHAnsi"/>
          <w:sz w:val="22"/>
          <w:szCs w:val="22"/>
          <w:lang w:eastAsia="en-US"/>
        </w:rPr>
      </w:pPr>
      <w:r>
        <w:rPr>
          <w:rFonts w:ascii="Century Gothic" w:hAnsi="Century Gothic" w:cs="Arial" w:eastAsiaTheme="minorHAnsi"/>
          <w:sz w:val="22"/>
          <w:szCs w:val="22"/>
          <w:lang w:eastAsia="en-US"/>
        </w:rPr>
        <w:t>Por lo anterior, la Entidad debe entender la naturaleza del negocio de las personas jurídicas, así como su estructura accionaria y de control.</w:t>
      </w:r>
    </w:p>
    <w:p w14:paraId="738B65B1">
      <w:pPr>
        <w:autoSpaceDE w:val="0"/>
        <w:autoSpaceDN w:val="0"/>
        <w:adjustRightInd w:val="0"/>
        <w:rPr>
          <w:rFonts w:ascii="Century Gothic" w:hAnsi="Century Gothic" w:cs="Arial" w:eastAsiaTheme="minorHAnsi"/>
          <w:sz w:val="22"/>
          <w:szCs w:val="22"/>
          <w:lang w:eastAsia="en-US"/>
        </w:rPr>
      </w:pPr>
    </w:p>
    <w:p w14:paraId="45C93D33">
      <w:pPr>
        <w:pStyle w:val="65"/>
        <w:numPr>
          <w:ilvl w:val="0"/>
          <w:numId w:val="45"/>
        </w:numPr>
        <w:autoSpaceDE w:val="0"/>
        <w:autoSpaceDN w:val="0"/>
        <w:adjustRightInd w:val="0"/>
        <w:rPr>
          <w:rFonts w:ascii="Century Gothic" w:hAnsi="Century Gothic" w:cs="Arial" w:eastAsiaTheme="minorHAnsi"/>
          <w:sz w:val="22"/>
          <w:szCs w:val="22"/>
          <w:lang w:eastAsia="en-US"/>
        </w:rPr>
      </w:pPr>
      <w:r>
        <w:rPr>
          <w:rFonts w:ascii="Century Gothic" w:hAnsi="Century Gothic" w:cs="Arial" w:eastAsiaTheme="minorHAnsi"/>
          <w:sz w:val="22"/>
          <w:szCs w:val="22"/>
          <w:lang w:eastAsia="en-US"/>
        </w:rPr>
        <w:t>Actividad económica del asociado/cliente o relacionado contractual.</w:t>
      </w:r>
    </w:p>
    <w:p w14:paraId="543D97C8">
      <w:pPr>
        <w:pStyle w:val="65"/>
        <w:numPr>
          <w:ilvl w:val="0"/>
          <w:numId w:val="45"/>
        </w:numPr>
        <w:autoSpaceDE w:val="0"/>
        <w:autoSpaceDN w:val="0"/>
        <w:adjustRightInd w:val="0"/>
        <w:rPr>
          <w:rFonts w:ascii="Century Gothic" w:hAnsi="Century Gothic" w:cs="Arial" w:eastAsiaTheme="minorHAnsi"/>
          <w:sz w:val="22"/>
          <w:szCs w:val="22"/>
          <w:lang w:eastAsia="en-US"/>
        </w:rPr>
      </w:pPr>
      <w:r>
        <w:rPr>
          <w:rFonts w:ascii="Century Gothic" w:hAnsi="Century Gothic" w:cs="Arial" w:eastAsiaTheme="minorHAnsi"/>
          <w:sz w:val="22"/>
          <w:szCs w:val="22"/>
          <w:lang w:eastAsia="en-US"/>
        </w:rPr>
        <w:t>Características, montos y procedencia de los ingresos y egresos</w:t>
      </w:r>
    </w:p>
    <w:p w14:paraId="59F4ADB8">
      <w:pPr>
        <w:pStyle w:val="65"/>
        <w:numPr>
          <w:ilvl w:val="0"/>
          <w:numId w:val="45"/>
        </w:numPr>
        <w:autoSpaceDE w:val="0"/>
        <w:autoSpaceDN w:val="0"/>
        <w:adjustRightInd w:val="0"/>
        <w:rPr>
          <w:rFonts w:ascii="Century Gothic" w:hAnsi="Century Gothic" w:cs="Arial" w:eastAsiaTheme="minorHAnsi"/>
          <w:sz w:val="22"/>
          <w:szCs w:val="22"/>
          <w:lang w:eastAsia="en-US"/>
        </w:rPr>
      </w:pPr>
      <w:r>
        <w:rPr>
          <w:rFonts w:ascii="Century Gothic" w:hAnsi="Century Gothic" w:cs="Arial" w:eastAsiaTheme="minorHAnsi"/>
          <w:sz w:val="22"/>
          <w:szCs w:val="22"/>
          <w:lang w:eastAsia="en-US"/>
        </w:rPr>
        <w:t>Características y montos de las transacciones y operaciones de los asociados/clientes actuales en la organización.</w:t>
      </w:r>
    </w:p>
    <w:p w14:paraId="1AB9526C">
      <w:pPr>
        <w:ind w:left="360"/>
        <w:rPr>
          <w:rFonts w:ascii="Century Gothic" w:hAnsi="Century Gothic" w:cs="Arial" w:eastAsiaTheme="minorHAnsi"/>
          <w:sz w:val="22"/>
          <w:szCs w:val="22"/>
          <w:lang w:eastAsia="en-US"/>
        </w:rPr>
      </w:pPr>
    </w:p>
    <w:p w14:paraId="529BC643">
      <w:pPr>
        <w:rPr>
          <w:rFonts w:ascii="Century Gothic" w:hAnsi="Century Gothic" w:cs="Arial" w:eastAsiaTheme="minorHAnsi"/>
          <w:b/>
          <w:color w:val="000000"/>
          <w:sz w:val="22"/>
          <w:szCs w:val="22"/>
          <w:lang w:eastAsia="en-US"/>
        </w:rPr>
      </w:pPr>
    </w:p>
    <w:p w14:paraId="3D11C7B0">
      <w:pPr>
        <w:rPr>
          <w:rFonts w:ascii="Century Gothic" w:hAnsi="Century Gothic" w:cs="Arial" w:eastAsiaTheme="minorHAnsi"/>
          <w:color w:val="000000"/>
          <w:sz w:val="22"/>
          <w:szCs w:val="22"/>
          <w:u w:val="single"/>
          <w:lang w:eastAsia="en-US"/>
        </w:rPr>
      </w:pPr>
      <w:r>
        <w:rPr>
          <w:rFonts w:ascii="Century Gothic" w:hAnsi="Century Gothic" w:cs="Arial" w:eastAsiaTheme="minorHAnsi"/>
          <w:color w:val="000000"/>
          <w:sz w:val="22"/>
          <w:szCs w:val="22"/>
          <w:u w:val="single"/>
          <w:lang w:eastAsia="en-US"/>
        </w:rPr>
        <w:t>El conocimiento del asociado/cliente y relacionado contractual permite a la entidad:</w:t>
      </w:r>
    </w:p>
    <w:p w14:paraId="6E26927C">
      <w:pPr>
        <w:ind w:left="360"/>
        <w:rPr>
          <w:rFonts w:ascii="Century Gothic" w:hAnsi="Century Gothic" w:cs="Arial" w:eastAsiaTheme="minorHAnsi"/>
          <w:sz w:val="22"/>
          <w:szCs w:val="22"/>
          <w:lang w:eastAsia="en-US"/>
        </w:rPr>
      </w:pPr>
    </w:p>
    <w:p w14:paraId="58CEA04C">
      <w:pPr>
        <w:pStyle w:val="65"/>
        <w:numPr>
          <w:ilvl w:val="0"/>
          <w:numId w:val="46"/>
        </w:numPr>
        <w:autoSpaceDE w:val="0"/>
        <w:autoSpaceDN w:val="0"/>
        <w:adjustRightInd w:val="0"/>
        <w:rPr>
          <w:rFonts w:ascii="Century Gothic" w:hAnsi="Century Gothic" w:cs="Arial" w:eastAsiaTheme="minorHAnsi"/>
          <w:sz w:val="22"/>
          <w:szCs w:val="22"/>
          <w:lang w:val="es-CO" w:eastAsia="en-US"/>
        </w:rPr>
      </w:pPr>
      <w:r>
        <w:rPr>
          <w:rFonts w:ascii="Century Gothic" w:hAnsi="Century Gothic" w:cs="Arial" w:eastAsiaTheme="minorHAnsi"/>
          <w:sz w:val="22"/>
          <w:szCs w:val="22"/>
          <w:lang w:val="es-CO" w:eastAsia="en-US"/>
        </w:rPr>
        <w:t>Contar con la información que le permita comparar las características de las transacciones de sus asociados con las de su actividad económica.</w:t>
      </w:r>
    </w:p>
    <w:p w14:paraId="09E86A31">
      <w:pPr>
        <w:pStyle w:val="65"/>
        <w:numPr>
          <w:ilvl w:val="0"/>
          <w:numId w:val="46"/>
        </w:numPr>
        <w:autoSpaceDE w:val="0"/>
        <w:autoSpaceDN w:val="0"/>
        <w:adjustRightInd w:val="0"/>
        <w:rPr>
          <w:rFonts w:ascii="Century Gothic" w:hAnsi="Century Gothic" w:cs="Arial" w:eastAsiaTheme="minorHAnsi"/>
          <w:sz w:val="22"/>
          <w:szCs w:val="22"/>
          <w:lang w:val="es-CO" w:eastAsia="en-US"/>
        </w:rPr>
      </w:pPr>
      <w:r>
        <w:rPr>
          <w:rFonts w:ascii="Century Gothic" w:hAnsi="Century Gothic" w:cs="Arial" w:eastAsiaTheme="minorHAnsi"/>
          <w:sz w:val="22"/>
          <w:szCs w:val="22"/>
          <w:lang w:val="es-CO" w:eastAsia="en-US"/>
        </w:rPr>
        <w:t>Monitorear continuamente las operaciones de estos</w:t>
      </w:r>
    </w:p>
    <w:p w14:paraId="343E8077">
      <w:pPr>
        <w:pStyle w:val="65"/>
        <w:numPr>
          <w:ilvl w:val="0"/>
          <w:numId w:val="46"/>
        </w:numPr>
        <w:autoSpaceDE w:val="0"/>
        <w:autoSpaceDN w:val="0"/>
        <w:adjustRightInd w:val="0"/>
        <w:rPr>
          <w:rFonts w:ascii="Century Gothic" w:hAnsi="Century Gothic" w:cs="Arial" w:eastAsiaTheme="minorHAnsi"/>
          <w:sz w:val="22"/>
          <w:szCs w:val="22"/>
          <w:lang w:val="es-CO" w:eastAsia="en-US"/>
        </w:rPr>
      </w:pPr>
      <w:r>
        <w:rPr>
          <w:rFonts w:ascii="Century Gothic" w:hAnsi="Century Gothic" w:cs="Arial" w:eastAsiaTheme="minorHAnsi"/>
          <w:sz w:val="22"/>
          <w:szCs w:val="22"/>
          <w:lang w:val="es-CO" w:eastAsia="en-US"/>
        </w:rPr>
        <w:t>Contar con elementos de juicio y soportes  documentales que permitan analizar las transacciones inusuales en estos y determinar la existencia de operaciones sospechosas.</w:t>
      </w:r>
    </w:p>
    <w:p w14:paraId="5CD32494">
      <w:pPr>
        <w:rPr>
          <w:rFonts w:ascii="Century Gothic" w:hAnsi="Century Gothic" w:cs="Arial" w:eastAsiaTheme="minorHAnsi"/>
          <w:sz w:val="22"/>
          <w:szCs w:val="22"/>
          <w:lang w:eastAsia="en-US"/>
        </w:rPr>
      </w:pPr>
    </w:p>
    <w:p w14:paraId="2B2F2951">
      <w:pPr>
        <w:pStyle w:val="65"/>
        <w:numPr>
          <w:ilvl w:val="0"/>
          <w:numId w:val="47"/>
        </w:numPr>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Los aspectos ya mencionados sobre conocimiento del asociado/cliente o relacionado contractual se deben aplicar también a las personas naturales o jurídicas que pretendan </w:t>
      </w:r>
      <w:r>
        <w:rPr>
          <w:rFonts w:ascii="Century Gothic" w:hAnsi="Century Gothic" w:cs="Arial" w:eastAsiaTheme="minorHAnsi"/>
          <w:b/>
          <w:color w:val="000000"/>
          <w:sz w:val="22"/>
          <w:szCs w:val="22"/>
          <w:lang w:eastAsia="en-US"/>
        </w:rPr>
        <w:t>adquirir activos fijos</w:t>
      </w:r>
      <w:r>
        <w:rPr>
          <w:rFonts w:ascii="Century Gothic" w:hAnsi="Century Gothic" w:cs="Arial" w:eastAsiaTheme="minorHAnsi"/>
          <w:color w:val="000000"/>
          <w:sz w:val="22"/>
          <w:szCs w:val="22"/>
          <w:lang w:eastAsia="en-US"/>
        </w:rPr>
        <w:t xml:space="preserve"> de la de la Entidad o cuando se trate de bienes entregados en dación de pago de personas no asociadas.</w:t>
      </w:r>
    </w:p>
    <w:p w14:paraId="4B50E350">
      <w:pPr>
        <w:rPr>
          <w:rFonts w:ascii="Century Gothic" w:hAnsi="Century Gothic" w:cs="Arial" w:eastAsiaTheme="minorHAnsi"/>
          <w:color w:val="000000"/>
          <w:sz w:val="22"/>
          <w:szCs w:val="22"/>
          <w:lang w:eastAsia="en-US"/>
        </w:rPr>
      </w:pPr>
    </w:p>
    <w:p w14:paraId="792D5A90">
      <w:pPr>
        <w:pStyle w:val="65"/>
        <w:numPr>
          <w:ilvl w:val="0"/>
          <w:numId w:val="47"/>
        </w:numPr>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Consecuentemente con lo señalado, la Entidad no puede delegar en terceros la vinculación de asociados o clientes.</w:t>
      </w:r>
    </w:p>
    <w:p w14:paraId="5BF832BB">
      <w:pPr>
        <w:pStyle w:val="65"/>
        <w:rPr>
          <w:rFonts w:ascii="Century Gothic" w:hAnsi="Century Gothic" w:cs="Arial" w:eastAsiaTheme="minorHAnsi"/>
          <w:color w:val="000000"/>
          <w:sz w:val="22"/>
          <w:szCs w:val="22"/>
          <w:lang w:eastAsia="en-US"/>
        </w:rPr>
      </w:pPr>
    </w:p>
    <w:p w14:paraId="5BBF29D7">
      <w:pPr>
        <w:pStyle w:val="65"/>
        <w:numPr>
          <w:ilvl w:val="0"/>
          <w:numId w:val="47"/>
        </w:numPr>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Los procedimientos de conocimiento del asociado/cliente o relacionado contractual, aplicados por otras organizaciones vigiladas con relación a un mismo solicitante o que se encuentren o no sometida a algún tipo de vigilancia estatal, no exime de la responsabilidad que tiene la Entidad de conocer a su propio asociado/cliente o relacionado contractual.</w:t>
      </w:r>
    </w:p>
    <w:p w14:paraId="4FB50B40">
      <w:pPr>
        <w:pStyle w:val="65"/>
        <w:rPr>
          <w:rFonts w:ascii="Century Gothic" w:hAnsi="Century Gothic" w:cs="Arial" w:eastAsiaTheme="minorHAnsi"/>
          <w:color w:val="000000"/>
          <w:sz w:val="22"/>
          <w:szCs w:val="22"/>
          <w:lang w:eastAsia="en-US"/>
        </w:rPr>
      </w:pPr>
    </w:p>
    <w:p w14:paraId="6F7D7089">
      <w:pPr>
        <w:pStyle w:val="65"/>
        <w:numPr>
          <w:ilvl w:val="0"/>
          <w:numId w:val="47"/>
        </w:numPr>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En el proceso de Vinculación la Entidad deberá asegurarse que el formulario de vinculación del asociado o conocimiento del cliente o relacionado contractual esté adecuadamente diligenciado previamente a su aceptación como asociado o clientes o relacionado contractual y verificar la veracidad de la información allí contenida.</w:t>
      </w:r>
    </w:p>
    <w:p w14:paraId="3A533341">
      <w:pPr>
        <w:pStyle w:val="65"/>
        <w:rPr>
          <w:rFonts w:ascii="Century Gothic" w:hAnsi="Century Gothic" w:cs="Arial" w:eastAsiaTheme="minorHAnsi"/>
          <w:color w:val="000000"/>
          <w:sz w:val="22"/>
          <w:szCs w:val="22"/>
          <w:lang w:eastAsia="en-US"/>
        </w:rPr>
      </w:pPr>
    </w:p>
    <w:p w14:paraId="24E20547">
      <w:pPr>
        <w:pStyle w:val="65"/>
        <w:numPr>
          <w:ilvl w:val="0"/>
          <w:numId w:val="47"/>
        </w:numPr>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La vinculación de los asociados o relacionados contractuales debe realizarse personalmente y se debe dejar constancia de ello con fecha y hora en el formulario previsto para el efecto. Así mismo se deben dejar consignadas en el citado documento las observaciones sobre el potencial asociado/cliente o relacionado contractual, por parte de la persona que realizo dicho trámite.</w:t>
      </w:r>
    </w:p>
    <w:p w14:paraId="0DF14545">
      <w:pPr>
        <w:rPr>
          <w:rFonts w:ascii="Century Gothic" w:hAnsi="Century Gothic" w:cs="Arial" w:eastAsiaTheme="minorHAnsi"/>
          <w:color w:val="000000"/>
          <w:sz w:val="22"/>
          <w:szCs w:val="22"/>
          <w:lang w:eastAsia="en-US"/>
        </w:rPr>
      </w:pPr>
    </w:p>
    <w:p w14:paraId="7BFB1EB0">
      <w:pPr>
        <w:rPr>
          <w:rFonts w:ascii="Century Gothic" w:hAnsi="Century Gothic" w:cs="Arial" w:eastAsiaTheme="minorHAnsi"/>
          <w:b/>
          <w:color w:val="000000"/>
          <w:sz w:val="22"/>
          <w:szCs w:val="22"/>
          <w:lang w:eastAsia="en-US"/>
        </w:rPr>
      </w:pPr>
      <w:r>
        <w:rPr>
          <w:rFonts w:ascii="Century Gothic" w:hAnsi="Century Gothic" w:cs="Arial" w:eastAsiaTheme="minorHAnsi"/>
          <w:b/>
          <w:color w:val="000000"/>
          <w:sz w:val="22"/>
          <w:szCs w:val="22"/>
          <w:lang w:eastAsia="en-US"/>
        </w:rPr>
        <w:t>Diligenciamiento del formulario</w:t>
      </w:r>
    </w:p>
    <w:p w14:paraId="6BD52FBC">
      <w:pPr>
        <w:rPr>
          <w:rFonts w:ascii="Century Gothic" w:hAnsi="Century Gothic" w:cs="Arial" w:eastAsiaTheme="minorHAnsi"/>
          <w:color w:val="000000"/>
          <w:sz w:val="22"/>
          <w:szCs w:val="22"/>
          <w:highlight w:val="yellow"/>
          <w:lang w:eastAsia="en-US"/>
        </w:rPr>
      </w:pPr>
    </w:p>
    <w:p w14:paraId="6C952B6A">
      <w:pPr>
        <w:pStyle w:val="65"/>
        <w:numPr>
          <w:ilvl w:val="0"/>
          <w:numId w:val="48"/>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El formulario de vinculación y/o actualización de datos, en caso de asociados  o relacionados contractuales ya sean personas naturales o jurídicas, debe ser diligenciado completa y correctamente, así mismo, debe ser  firmado por el asociado o  relacionado contractual  según sea el caso. La información  debe ser verificada por el funcionario encargado de esta función.</w:t>
      </w:r>
    </w:p>
    <w:p w14:paraId="31AF85E8">
      <w:pPr>
        <w:pStyle w:val="65"/>
        <w:numPr>
          <w:ilvl w:val="0"/>
          <w:numId w:val="48"/>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La información suministrada por el asociado o relacionado contractual  (RC) lo que tiene que ver con identificación e ingresos debe estar soportada debidamente.</w:t>
      </w:r>
    </w:p>
    <w:p w14:paraId="35B0ED9F">
      <w:pPr>
        <w:pStyle w:val="65"/>
        <w:numPr>
          <w:ilvl w:val="0"/>
          <w:numId w:val="48"/>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Las referencias personales, familiares y de otra índole del asociado o relacionado contractual deben ser  confirmadas  y se debe dejar constancia del proceso.</w:t>
      </w:r>
    </w:p>
    <w:p w14:paraId="5F98CC85">
      <w:pPr>
        <w:pStyle w:val="65"/>
        <w:numPr>
          <w:ilvl w:val="0"/>
          <w:numId w:val="48"/>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El Oficial de Cumplimiento o persona designada debe hacer las consultas en listas restrictivas antes de la aprobación o negación de la vinculación.</w:t>
      </w:r>
    </w:p>
    <w:p w14:paraId="03EAE968">
      <w:pPr>
        <w:pStyle w:val="65"/>
        <w:numPr>
          <w:ilvl w:val="0"/>
          <w:numId w:val="48"/>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A todas las personas que se vinculen a  la Entidad, se les hará una entrevista para determinar entre otras cosas si es PEPS, el origen de fondos, el patrimonio, los  productos y servicios a utilizar etc.</w:t>
      </w:r>
    </w:p>
    <w:p w14:paraId="6608DB26">
      <w:pPr>
        <w:pStyle w:val="65"/>
        <w:numPr>
          <w:ilvl w:val="0"/>
          <w:numId w:val="48"/>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 xml:space="preserve">En todos los casos se debe determinar, la profesión y la Actividad económica, la cual estará de acuerdo con la actividades económicas establecidas por los códigos CIUU del DANE, y en caso de que no se posible ubicar allí la actividad económica se podrá tener como referencia “eventualmente” la codificación de la DIAN. </w:t>
      </w:r>
    </w:p>
    <w:p w14:paraId="7CCC2CA0">
      <w:pPr>
        <w:pStyle w:val="65"/>
        <w:numPr>
          <w:ilvl w:val="0"/>
          <w:numId w:val="48"/>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Para que un asociado o un relacionado contractual pueda realizar operaciones con la Entidad es necesario que la información este completa y verificada.</w:t>
      </w:r>
    </w:p>
    <w:p w14:paraId="3FD8DE93">
      <w:pPr>
        <w:pStyle w:val="65"/>
        <w:numPr>
          <w:ilvl w:val="0"/>
          <w:numId w:val="48"/>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El Oficial de Cumplimiento hará los cruces de información que le permita establecer relaciones de los clientes individuales y el segmento de mercado o actividad económica a la que pertenece, y demás para establecer señales de alerta y un adecuado control de LA/FT.</w:t>
      </w:r>
    </w:p>
    <w:p w14:paraId="7DDF8F55">
      <w:pPr>
        <w:pStyle w:val="65"/>
        <w:autoSpaceDE w:val="0"/>
        <w:autoSpaceDN w:val="0"/>
        <w:adjustRightInd w:val="0"/>
        <w:ind w:left="720"/>
        <w:rPr>
          <w:rFonts w:ascii="Century Gothic" w:hAnsi="Century Gothic" w:cs="Arial" w:eastAsiaTheme="minorHAnsi"/>
          <w:color w:val="000000"/>
          <w:sz w:val="22"/>
          <w:szCs w:val="22"/>
          <w:lang w:val="es-CO" w:eastAsia="en-US"/>
        </w:rPr>
      </w:pPr>
    </w:p>
    <w:p w14:paraId="048A993B">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Las bases de datos deben contar con las medidas de seguridad (perfiles de usuario, claves de acceso, etc.) para evitar su alteración y mal uso.</w:t>
      </w:r>
    </w:p>
    <w:p w14:paraId="54252EE5">
      <w:pPr>
        <w:autoSpaceDE w:val="0"/>
        <w:autoSpaceDN w:val="0"/>
        <w:adjustRightInd w:val="0"/>
        <w:rPr>
          <w:rFonts w:ascii="Century Gothic" w:hAnsi="Century Gothic" w:cs="Arial" w:eastAsiaTheme="minorHAnsi"/>
          <w:color w:val="000000"/>
          <w:sz w:val="22"/>
          <w:szCs w:val="22"/>
          <w:lang w:eastAsia="en-US"/>
        </w:rPr>
      </w:pPr>
    </w:p>
    <w:p w14:paraId="3184E574">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Todos los cambios en la información del asociado recibidos en los diferentes trámites, deben estar soportados y verificados antes de su modificación en la base de datos.</w:t>
      </w:r>
    </w:p>
    <w:p w14:paraId="526359F2">
      <w:pPr>
        <w:autoSpaceDE w:val="0"/>
        <w:autoSpaceDN w:val="0"/>
        <w:adjustRightInd w:val="0"/>
        <w:rPr>
          <w:rFonts w:ascii="Century Gothic" w:hAnsi="Century Gothic" w:cs="Arial" w:eastAsiaTheme="minorHAnsi"/>
          <w:color w:val="000000"/>
          <w:sz w:val="22"/>
          <w:szCs w:val="22"/>
          <w:lang w:eastAsia="en-US"/>
        </w:rPr>
      </w:pPr>
    </w:p>
    <w:p w14:paraId="487E8BB4">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El proceso de conocimiento del cliente para las PEPS se debe complementar con el seguimiento mensual de las operaciones realizadas para determinar la coherencia con la actividad y el informe al respecto por parte del Oficial de Cumplimiento.</w:t>
      </w:r>
    </w:p>
    <w:p w14:paraId="39C25CB8">
      <w:pPr>
        <w:pStyle w:val="65"/>
        <w:autoSpaceDE w:val="0"/>
        <w:autoSpaceDN w:val="0"/>
        <w:adjustRightInd w:val="0"/>
        <w:ind w:left="720"/>
        <w:rPr>
          <w:rFonts w:ascii="Century Gothic" w:hAnsi="Century Gothic" w:cs="Arial" w:eastAsiaTheme="minorHAnsi"/>
          <w:color w:val="000000"/>
          <w:sz w:val="22"/>
          <w:szCs w:val="22"/>
          <w:lang w:val="es-CO" w:eastAsia="en-US"/>
        </w:rPr>
      </w:pPr>
    </w:p>
    <w:p w14:paraId="706BE0FF">
      <w:pPr>
        <w:autoSpaceDE w:val="0"/>
        <w:autoSpaceDN w:val="0"/>
        <w:adjustRightInd w:val="0"/>
        <w:rPr>
          <w:rFonts w:ascii="Century Gothic" w:hAnsi="Century Gothic" w:cs="Arial" w:eastAsiaTheme="minorHAnsi"/>
          <w:b/>
          <w:color w:val="000000"/>
          <w:sz w:val="22"/>
          <w:szCs w:val="22"/>
          <w:lang w:eastAsia="en-US"/>
        </w:rPr>
      </w:pPr>
      <w:r>
        <w:rPr>
          <w:rFonts w:ascii="Century Gothic" w:hAnsi="Century Gothic" w:cs="Arial" w:eastAsiaTheme="minorHAnsi"/>
          <w:b/>
          <w:color w:val="000000"/>
          <w:sz w:val="22"/>
          <w:szCs w:val="22"/>
          <w:lang w:eastAsia="en-US"/>
        </w:rPr>
        <w:t xml:space="preserve">Requisitos para la vinculación </w:t>
      </w:r>
    </w:p>
    <w:p w14:paraId="75A394E3">
      <w:pPr>
        <w:autoSpaceDE w:val="0"/>
        <w:autoSpaceDN w:val="0"/>
        <w:adjustRightInd w:val="0"/>
        <w:rPr>
          <w:rFonts w:ascii="Century Gothic" w:hAnsi="Century Gothic" w:cs="Arial" w:eastAsiaTheme="minorHAnsi"/>
          <w:b/>
          <w:color w:val="000000"/>
          <w:sz w:val="22"/>
          <w:szCs w:val="22"/>
          <w:lang w:eastAsia="en-US"/>
        </w:rPr>
      </w:pPr>
    </w:p>
    <w:p w14:paraId="1F93CB38">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Los requisitos para la vinculación como asociados serán los establecidos en el estatuto.</w:t>
      </w:r>
    </w:p>
    <w:p w14:paraId="03E7D57A">
      <w:pPr>
        <w:autoSpaceDE w:val="0"/>
        <w:autoSpaceDN w:val="0"/>
        <w:adjustRightInd w:val="0"/>
        <w:rPr>
          <w:rFonts w:ascii="Century Gothic" w:hAnsi="Century Gothic" w:cs="Arial" w:eastAsiaTheme="minorHAnsi"/>
          <w:color w:val="000000"/>
          <w:sz w:val="22"/>
          <w:szCs w:val="22"/>
          <w:lang w:eastAsia="en-US"/>
        </w:rPr>
      </w:pPr>
    </w:p>
    <w:p w14:paraId="6FF54A49">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Para aquellas personas que se encuentren facultadas o autorizadas para disponer de los productos adquiridos en la Entidad, éstas deberán diligenciar el formulario, y así mismo deberá realizarse  previamente consulta del documento de identidad y la respectiva consulta en listas restrictivas. </w:t>
      </w:r>
    </w:p>
    <w:p w14:paraId="302FCFBA">
      <w:pPr>
        <w:widowControl w:val="0"/>
        <w:tabs>
          <w:tab w:val="left" w:pos="1380"/>
          <w:tab w:val="left" w:pos="1966"/>
          <w:tab w:val="left" w:pos="3214"/>
          <w:tab w:val="left" w:pos="5179"/>
          <w:tab w:val="left" w:pos="5798"/>
          <w:tab w:val="left" w:pos="6780"/>
          <w:tab w:val="left" w:pos="7800"/>
        </w:tabs>
        <w:autoSpaceDE w:val="0"/>
        <w:autoSpaceDN w:val="0"/>
        <w:adjustRightInd w:val="0"/>
        <w:spacing w:line="241" w:lineRule="auto"/>
        <w:ind w:right="50"/>
        <w:rPr>
          <w:rFonts w:ascii="Century Gothic" w:hAnsi="Century Gothic" w:cs="Arial" w:eastAsiaTheme="minorHAnsi"/>
          <w:color w:val="000000"/>
          <w:sz w:val="22"/>
          <w:szCs w:val="22"/>
          <w:highlight w:val="green"/>
          <w:lang w:eastAsia="en-US"/>
        </w:rPr>
      </w:pPr>
    </w:p>
    <w:p w14:paraId="3540DA21">
      <w:pPr>
        <w:autoSpaceDE w:val="0"/>
        <w:autoSpaceDN w:val="0"/>
        <w:adjustRightInd w:val="0"/>
        <w:rPr>
          <w:rFonts w:ascii="Century Gothic" w:hAnsi="Century Gothic" w:cs="Arial" w:eastAsiaTheme="minorHAnsi"/>
          <w:b/>
          <w:color w:val="000000"/>
          <w:sz w:val="22"/>
          <w:szCs w:val="22"/>
          <w:lang w:eastAsia="en-US"/>
        </w:rPr>
      </w:pPr>
      <w:r>
        <w:rPr>
          <w:rFonts w:ascii="Century Gothic" w:hAnsi="Century Gothic" w:cs="Arial" w:eastAsiaTheme="minorHAnsi"/>
          <w:b/>
          <w:color w:val="000000"/>
          <w:sz w:val="22"/>
          <w:szCs w:val="22"/>
          <w:lang w:eastAsia="en-US"/>
        </w:rPr>
        <w:t>Actualización de Información</w:t>
      </w:r>
    </w:p>
    <w:p w14:paraId="13FCE960">
      <w:pPr>
        <w:autoSpaceDE w:val="0"/>
        <w:autoSpaceDN w:val="0"/>
        <w:adjustRightInd w:val="0"/>
        <w:rPr>
          <w:rFonts w:ascii="Century Gothic" w:hAnsi="Century Gothic" w:cs="Arial" w:eastAsiaTheme="minorHAnsi"/>
          <w:color w:val="000000"/>
          <w:sz w:val="22"/>
          <w:szCs w:val="22"/>
          <w:highlight w:val="green"/>
          <w:lang w:eastAsia="en-US"/>
        </w:rPr>
      </w:pPr>
    </w:p>
    <w:p w14:paraId="6891C2FE">
      <w:pPr>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Se deberán efectuar las estrategias requeridas para confirmar, y actualizar por lo menos una vez al año, los datos suministrados en el formulario de vinculación y/o actualización del asociado/cliente o relacionado contractual, sean personas naturales o jurídicas según el caso.</w:t>
      </w:r>
    </w:p>
    <w:p w14:paraId="4BF967CD">
      <w:pPr>
        <w:rPr>
          <w:rFonts w:ascii="Century Gothic" w:hAnsi="Century Gothic" w:cs="Arial" w:eastAsiaTheme="minorHAnsi"/>
          <w:color w:val="000000"/>
          <w:sz w:val="22"/>
          <w:szCs w:val="22"/>
          <w:lang w:eastAsia="en-US"/>
        </w:rPr>
      </w:pPr>
    </w:p>
    <w:p w14:paraId="3AF2702D">
      <w:pPr>
        <w:autoSpaceDE w:val="0"/>
        <w:autoSpaceDN w:val="0"/>
        <w:adjustRightInd w:val="0"/>
        <w:contextualSpacing/>
        <w:rPr>
          <w:rFonts w:ascii="Century Gothic" w:hAnsi="Century Gothic" w:cs="Helvetica" w:eastAsiaTheme="minorHAnsi"/>
          <w:sz w:val="22"/>
          <w:szCs w:val="22"/>
          <w:lang w:eastAsia="en-US"/>
        </w:rPr>
      </w:pPr>
      <w:r>
        <w:rPr>
          <w:rFonts w:ascii="Century Gothic" w:hAnsi="Century Gothic" w:cs="Helvetica" w:eastAsiaTheme="minorHAnsi"/>
          <w:sz w:val="22"/>
          <w:szCs w:val="22"/>
          <w:lang w:eastAsia="en-US"/>
        </w:rPr>
        <w:t>En el caso de asociados/clientes o relacionados contractuales inactivos, la actualización se llevará a cabo cuando deje de tener tal condición.</w:t>
      </w:r>
    </w:p>
    <w:p w14:paraId="2EFA290B">
      <w:pPr>
        <w:autoSpaceDE w:val="0"/>
        <w:autoSpaceDN w:val="0"/>
        <w:adjustRightInd w:val="0"/>
        <w:rPr>
          <w:rFonts w:ascii="Century Gothic" w:hAnsi="Century Gothic" w:cs="Arial" w:eastAsiaTheme="minorHAnsi"/>
          <w:color w:val="000000"/>
          <w:sz w:val="22"/>
          <w:szCs w:val="22"/>
          <w:highlight w:val="green"/>
          <w:lang w:val="es-ES" w:eastAsia="en-US"/>
        </w:rPr>
      </w:pPr>
    </w:p>
    <w:p w14:paraId="4E0548D0">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Para efectos de actualización la Entidad utilizará el Formato establecido y diseñará y adoptará las estrategias requeridas. Los requisitos para la actualización de información serán</w:t>
      </w:r>
    </w:p>
    <w:p w14:paraId="3BC73EC9">
      <w:pPr>
        <w:autoSpaceDE w:val="0"/>
        <w:autoSpaceDN w:val="0"/>
        <w:adjustRightInd w:val="0"/>
        <w:rPr>
          <w:rFonts w:ascii="Century Gothic" w:hAnsi="Century Gothic" w:cs="Arial" w:eastAsiaTheme="minorHAnsi"/>
          <w:color w:val="000000"/>
          <w:sz w:val="22"/>
          <w:szCs w:val="22"/>
          <w:highlight w:val="green"/>
          <w:lang w:val="es-ES" w:eastAsia="en-US"/>
        </w:rPr>
      </w:pPr>
    </w:p>
    <w:p w14:paraId="2CBE667D">
      <w:pPr>
        <w:autoSpaceDE w:val="0"/>
        <w:autoSpaceDN w:val="0"/>
        <w:adjustRightInd w:val="0"/>
        <w:rPr>
          <w:rFonts w:ascii="Century Gothic" w:hAnsi="Century Gothic" w:cs="Arial" w:eastAsiaTheme="minorHAnsi"/>
          <w:color w:val="000000"/>
          <w:sz w:val="22"/>
          <w:szCs w:val="22"/>
          <w:highlight w:val="green"/>
          <w:lang w:val="es-ES" w:eastAsia="en-US"/>
        </w:rPr>
      </w:pPr>
    </w:p>
    <w:p w14:paraId="65C07C16">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b/>
          <w:bCs/>
          <w:color w:val="000000"/>
          <w:sz w:val="22"/>
          <w:szCs w:val="22"/>
          <w:lang w:eastAsia="en-US"/>
        </w:rPr>
        <w:t>Personas</w:t>
      </w:r>
      <w:r>
        <w:rPr>
          <w:rFonts w:ascii="Century Gothic" w:hAnsi="Century Gothic" w:cs="Arial" w:eastAsiaTheme="minorHAnsi"/>
          <w:color w:val="000000"/>
          <w:sz w:val="22"/>
          <w:szCs w:val="22"/>
          <w:lang w:eastAsia="en-US"/>
        </w:rPr>
        <w:t xml:space="preserve"> </w:t>
      </w:r>
      <w:r>
        <w:rPr>
          <w:rFonts w:ascii="Century Gothic" w:hAnsi="Century Gothic" w:cs="Arial" w:eastAsiaTheme="minorHAnsi"/>
          <w:b/>
          <w:bCs/>
          <w:color w:val="000000"/>
          <w:sz w:val="22"/>
          <w:szCs w:val="22"/>
          <w:lang w:eastAsia="en-US"/>
        </w:rPr>
        <w:t>Jurídicas:</w:t>
      </w:r>
    </w:p>
    <w:p w14:paraId="24653461">
      <w:pPr>
        <w:autoSpaceDE w:val="0"/>
        <w:autoSpaceDN w:val="0"/>
        <w:adjustRightInd w:val="0"/>
        <w:rPr>
          <w:rFonts w:ascii="Century Gothic" w:hAnsi="Century Gothic" w:cs="Arial" w:eastAsiaTheme="minorHAnsi"/>
          <w:color w:val="000000"/>
          <w:sz w:val="22"/>
          <w:szCs w:val="22"/>
          <w:lang w:eastAsia="en-US"/>
        </w:rPr>
      </w:pPr>
    </w:p>
    <w:p w14:paraId="599745A7">
      <w:pPr>
        <w:pStyle w:val="65"/>
        <w:numPr>
          <w:ilvl w:val="0"/>
          <w:numId w:val="49"/>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Formato de Vinculación y Actualización de datos</w:t>
      </w:r>
    </w:p>
    <w:p w14:paraId="1B57FE66">
      <w:pPr>
        <w:pStyle w:val="65"/>
        <w:numPr>
          <w:ilvl w:val="0"/>
          <w:numId w:val="49"/>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Fotocopia de la cédula de ciudadanía del Representante Legal (En caso de cambio de represente legal)</w:t>
      </w:r>
    </w:p>
    <w:p w14:paraId="19C743A8">
      <w:pPr>
        <w:pStyle w:val="65"/>
        <w:numPr>
          <w:ilvl w:val="0"/>
          <w:numId w:val="49"/>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Original de Certificado Existencia y Representación Legal expedido por la Cámara de Comercio (vigencia inferior a treinta días)</w:t>
      </w:r>
    </w:p>
    <w:p w14:paraId="0C7B4B24">
      <w:pPr>
        <w:pStyle w:val="65"/>
        <w:numPr>
          <w:ilvl w:val="0"/>
          <w:numId w:val="49"/>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Estados Financieros último ejercicio económico  o Declaración de Renta último año.</w:t>
      </w:r>
    </w:p>
    <w:p w14:paraId="70FE6603">
      <w:pPr>
        <w:pStyle w:val="65"/>
        <w:numPr>
          <w:ilvl w:val="0"/>
          <w:numId w:val="49"/>
        </w:numPr>
        <w:autoSpaceDE w:val="0"/>
        <w:autoSpaceDN w:val="0"/>
        <w:adjustRightInd w:val="0"/>
        <w:rPr>
          <w:rFonts w:ascii="Century Gothic" w:hAnsi="Century Gothic" w:cs="Arial" w:eastAsiaTheme="minorHAnsi"/>
          <w:color w:val="000000"/>
          <w:sz w:val="22"/>
          <w:szCs w:val="22"/>
          <w:lang w:val="es-CO" w:eastAsia="en-US"/>
        </w:rPr>
      </w:pPr>
      <w:r>
        <w:rPr>
          <w:rFonts w:ascii="Century Gothic" w:hAnsi="Century Gothic" w:cs="Arial" w:eastAsiaTheme="minorHAnsi"/>
          <w:color w:val="000000"/>
          <w:sz w:val="22"/>
          <w:szCs w:val="22"/>
          <w:lang w:val="es-CO" w:eastAsia="en-US"/>
        </w:rPr>
        <w:t>Listado de Socios con participación del 5% o más del capital social (En caso de haber cambio en la composición accionaria o de no evidenciarse en otro documento).</w:t>
      </w:r>
    </w:p>
    <w:p w14:paraId="1032F658">
      <w:pPr>
        <w:autoSpaceDE w:val="0"/>
        <w:autoSpaceDN w:val="0"/>
        <w:adjustRightInd w:val="0"/>
        <w:rPr>
          <w:rFonts w:ascii="Century Gothic" w:hAnsi="Century Gothic" w:cs="Arial" w:eastAsiaTheme="minorHAnsi"/>
          <w:color w:val="000000"/>
          <w:sz w:val="22"/>
          <w:szCs w:val="22"/>
          <w:highlight w:val="green"/>
          <w:lang w:eastAsia="en-US"/>
        </w:rPr>
      </w:pPr>
    </w:p>
    <w:p w14:paraId="0E213862">
      <w:pPr>
        <w:autoSpaceDE w:val="0"/>
        <w:autoSpaceDN w:val="0"/>
        <w:adjustRightInd w:val="0"/>
        <w:rPr>
          <w:rFonts w:ascii="Century Gothic" w:hAnsi="Century Gothic" w:cs="Arial" w:eastAsiaTheme="minorHAnsi"/>
          <w:b/>
          <w:bCs/>
          <w:color w:val="000000"/>
          <w:sz w:val="22"/>
          <w:szCs w:val="22"/>
          <w:lang w:eastAsia="en-US"/>
        </w:rPr>
      </w:pPr>
      <w:r>
        <w:rPr>
          <w:rFonts w:ascii="Century Gothic" w:hAnsi="Century Gothic" w:cs="Arial" w:eastAsiaTheme="minorHAnsi"/>
          <w:b/>
          <w:bCs/>
          <w:color w:val="000000"/>
          <w:sz w:val="22"/>
          <w:szCs w:val="22"/>
          <w:lang w:eastAsia="en-US"/>
        </w:rPr>
        <w:t>Personas</w:t>
      </w:r>
      <w:r>
        <w:rPr>
          <w:rFonts w:ascii="Century Gothic" w:hAnsi="Century Gothic" w:cs="Arial" w:eastAsiaTheme="minorHAnsi"/>
          <w:color w:val="000000"/>
          <w:sz w:val="22"/>
          <w:szCs w:val="22"/>
          <w:lang w:eastAsia="en-US"/>
        </w:rPr>
        <w:t xml:space="preserve"> </w:t>
      </w:r>
      <w:r>
        <w:rPr>
          <w:rFonts w:ascii="Century Gothic" w:hAnsi="Century Gothic" w:cs="Arial" w:eastAsiaTheme="minorHAnsi"/>
          <w:b/>
          <w:bCs/>
          <w:color w:val="000000"/>
          <w:sz w:val="22"/>
          <w:szCs w:val="22"/>
          <w:lang w:eastAsia="en-US"/>
        </w:rPr>
        <w:t>Naturales:</w:t>
      </w:r>
    </w:p>
    <w:p w14:paraId="2B7CB3BC">
      <w:pPr>
        <w:autoSpaceDE w:val="0"/>
        <w:autoSpaceDN w:val="0"/>
        <w:adjustRightInd w:val="0"/>
        <w:rPr>
          <w:rFonts w:ascii="Century Gothic" w:hAnsi="Century Gothic" w:cs="Arial" w:eastAsiaTheme="minorHAnsi"/>
          <w:color w:val="000000"/>
          <w:sz w:val="22"/>
          <w:szCs w:val="22"/>
          <w:lang w:eastAsia="en-US"/>
        </w:rPr>
      </w:pPr>
    </w:p>
    <w:p w14:paraId="6A080C9C">
      <w:pPr>
        <w:pStyle w:val="65"/>
        <w:numPr>
          <w:ilvl w:val="0"/>
          <w:numId w:val="50"/>
        </w:num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Presentación del documento de identidad original, para constatar identidad del asociado/cliente o relacionado contractual. </w:t>
      </w:r>
    </w:p>
    <w:p w14:paraId="51D8AA4B">
      <w:pPr>
        <w:pStyle w:val="65"/>
        <w:autoSpaceDE w:val="0"/>
        <w:autoSpaceDN w:val="0"/>
        <w:adjustRightInd w:val="0"/>
        <w:ind w:left="720"/>
        <w:rPr>
          <w:rFonts w:ascii="Century Gothic" w:hAnsi="Century Gothic" w:cs="Arial" w:eastAsiaTheme="minorHAnsi"/>
          <w:color w:val="000000"/>
          <w:sz w:val="22"/>
          <w:szCs w:val="22"/>
          <w:lang w:val="es-CO" w:eastAsia="en-US"/>
        </w:rPr>
      </w:pPr>
    </w:p>
    <w:p w14:paraId="0009CF20">
      <w:pPr>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El Asociado/cliente o relacionado contractual, podrá realizar actualización de datos en las oficinas de la Entidad, en la cual está radicado como asociado/cliente o relacionado contractual, presentado su documento de identificación original y  los requisitos establecidos para tal fin, o mediante gestión efectuada por correo electrónico, siempre que se mantengan los debidos soportes que validen el proceso y el trámite con el asociado/cliente o relacionado contractual.</w:t>
      </w:r>
    </w:p>
    <w:p w14:paraId="135BA3DE">
      <w:pPr>
        <w:rPr>
          <w:rFonts w:ascii="Century Gothic" w:hAnsi="Century Gothic" w:cs="Arial" w:eastAsiaTheme="minorHAnsi"/>
          <w:color w:val="000000"/>
          <w:sz w:val="22"/>
          <w:szCs w:val="22"/>
          <w:lang w:eastAsia="en-US"/>
        </w:rPr>
      </w:pPr>
    </w:p>
    <w:p w14:paraId="3DAA39B1">
      <w:pPr>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En el caso de PEPS se tendrán en cuenta adicionalmente los aspectos ya mencionados en la política de vinculación.</w:t>
      </w:r>
    </w:p>
    <w:p w14:paraId="46740BB8">
      <w:pPr>
        <w:rPr>
          <w:rFonts w:ascii="Century Gothic" w:hAnsi="Century Gothic" w:cs="Arial" w:eastAsiaTheme="minorHAnsi"/>
          <w:color w:val="000000"/>
          <w:sz w:val="22"/>
          <w:szCs w:val="22"/>
          <w:lang w:eastAsia="en-US"/>
        </w:rPr>
      </w:pPr>
    </w:p>
    <w:p w14:paraId="29597E6C">
      <w:pPr>
        <w:spacing w:after="160" w:line="259" w:lineRule="auto"/>
        <w:rPr>
          <w:rFonts w:ascii="Century Gothic" w:hAnsi="Century Gothic" w:cs="Arial"/>
          <w:sz w:val="22"/>
          <w:szCs w:val="22"/>
        </w:rPr>
      </w:pPr>
      <w:r>
        <w:rPr>
          <w:rFonts w:ascii="Century Gothic" w:hAnsi="Century Gothic" w:cs="Arial"/>
          <w:sz w:val="22"/>
          <w:szCs w:val="22"/>
        </w:rPr>
        <w:t xml:space="preserve">La Entidad adelantará el proceso de SARLAFT (diligenciamiento del </w:t>
      </w:r>
      <w:r>
        <w:rPr>
          <w:rFonts w:ascii="Century Gothic" w:hAnsi="Century Gothic" w:cs="ITC Franklin Gothic Std Book" w:eastAsiaTheme="minorHAnsi"/>
          <w:color w:val="000000"/>
          <w:sz w:val="22"/>
          <w:szCs w:val="22"/>
          <w:lang w:eastAsia="en-US"/>
        </w:rPr>
        <w:t xml:space="preserve">formulario para la vinculación y/actualización de información, debida diligencia y exigencias de documentos, entre otros) de los relacionados contractuales: proveedores y contratistas; únicamente cuando el bien o servicio que se contrate con dichos relacionados contractuales, en el </w:t>
      </w:r>
      <w:r>
        <w:rPr>
          <w:rFonts w:ascii="Century Gothic" w:hAnsi="Century Gothic" w:cs="Arial"/>
          <w:sz w:val="22"/>
          <w:szCs w:val="22"/>
        </w:rPr>
        <w:t xml:space="preserve"> año supere los cuatro (04) SMLMV.</w:t>
      </w:r>
    </w:p>
    <w:p w14:paraId="6953C57B">
      <w:pPr>
        <w:autoSpaceDE w:val="0"/>
        <w:autoSpaceDN w:val="0"/>
        <w:adjustRightInd w:val="0"/>
        <w:rPr>
          <w:rFonts w:ascii="Century Gothic" w:hAnsi="Century Gothic" w:cs="Arial"/>
          <w:b/>
          <w:bCs/>
          <w:sz w:val="22"/>
          <w:szCs w:val="22"/>
          <w:lang w:eastAsia="es-CO"/>
        </w:rPr>
      </w:pPr>
    </w:p>
    <w:p w14:paraId="32187425">
      <w:pPr>
        <w:pStyle w:val="65"/>
        <w:numPr>
          <w:ilvl w:val="1"/>
          <w:numId w:val="12"/>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CONOCIMIENTO DEL MERCADO</w:t>
      </w:r>
    </w:p>
    <w:p w14:paraId="4644A4AE">
      <w:pPr>
        <w:autoSpaceDE w:val="0"/>
        <w:autoSpaceDN w:val="0"/>
        <w:adjustRightInd w:val="0"/>
        <w:rPr>
          <w:rFonts w:ascii="Century Gothic" w:hAnsi="Century Gothic" w:cs="Arial" w:eastAsiaTheme="minorHAnsi"/>
          <w:color w:val="000000"/>
          <w:sz w:val="22"/>
          <w:szCs w:val="22"/>
          <w:lang w:eastAsia="en-US"/>
        </w:rPr>
      </w:pPr>
    </w:p>
    <w:p w14:paraId="04166907">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La Cooperativa “COOPCALLEJONA” es una empresa asociativa, de derecho privado, sin ánimo de lucro y de responsabilidad limitada, constituida como una cooperativa multiactiva, de duración indefinida y patrimonio variable e ilimitado, que se regirá por los principios básicos del cooperativismo, las leyes, la jurisprudencia, la doctrina y su estatuto. </w:t>
      </w:r>
    </w:p>
    <w:p w14:paraId="118FE3A8">
      <w:pPr>
        <w:autoSpaceDE w:val="0"/>
        <w:autoSpaceDN w:val="0"/>
        <w:adjustRightInd w:val="0"/>
        <w:rPr>
          <w:rFonts w:ascii="Century Gothic" w:hAnsi="Century Gothic" w:cs="Arial" w:eastAsiaTheme="minorHAnsi"/>
          <w:color w:val="000000"/>
          <w:sz w:val="22"/>
          <w:szCs w:val="22"/>
          <w:lang w:eastAsia="en-US"/>
        </w:rPr>
      </w:pPr>
    </w:p>
    <w:p w14:paraId="5F5FA447">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Su finalidad es  ofrecer a sus asociados en forma oportuna y confiable, diversidad de servicios principalmente el crédito, desarrollándolo en diferentes formas y buscando siempre la satisfacción de sus asociados.</w:t>
      </w:r>
    </w:p>
    <w:p w14:paraId="581D55DC">
      <w:pPr>
        <w:autoSpaceDE w:val="0"/>
        <w:autoSpaceDN w:val="0"/>
        <w:adjustRightInd w:val="0"/>
        <w:rPr>
          <w:rFonts w:ascii="Century Gothic" w:hAnsi="Century Gothic" w:cs="Arial" w:eastAsiaTheme="minorHAnsi"/>
          <w:color w:val="000000"/>
          <w:sz w:val="22"/>
          <w:szCs w:val="22"/>
          <w:lang w:eastAsia="en-US"/>
        </w:rPr>
      </w:pPr>
    </w:p>
    <w:p w14:paraId="4AA0976D">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El Objeto Social es promover y ejecutar acciones que conlleven a mejorar el nivel de vida de sus asociados y su grupo familiar, buscando mejores condiciones económicas, sociales y culturales. Mediante la captación de aportes sociales, la prestación de servicios de crédito, educación, previsión, solidaridad y recreación; la celebración de operaciones de libranza o descuento directo y el manejo general de operaciones o inversiones que la ley le autorice, y que serán debidamente financiadas con recursos internos y externos de origen lícito.</w:t>
      </w:r>
    </w:p>
    <w:p w14:paraId="0A2598B2">
      <w:pPr>
        <w:rPr>
          <w:rFonts w:ascii="Century Gothic" w:hAnsi="Century Gothic"/>
          <w:sz w:val="22"/>
          <w:szCs w:val="22"/>
        </w:rPr>
      </w:pPr>
    </w:p>
    <w:p w14:paraId="5278113A">
      <w:pPr>
        <w:pStyle w:val="65"/>
        <w:numPr>
          <w:ilvl w:val="1"/>
          <w:numId w:val="12"/>
        </w:numPr>
        <w:rPr>
          <w:rFonts w:ascii="Century Gothic" w:hAnsi="Century Gothic" w:cs="Arial"/>
          <w:b/>
          <w:bCs/>
          <w:sz w:val="22"/>
          <w:szCs w:val="22"/>
          <w:lang w:eastAsia="es-CO"/>
        </w:rPr>
      </w:pPr>
      <w:r>
        <w:rPr>
          <w:rFonts w:ascii="Century Gothic" w:hAnsi="Century Gothic" w:cs="Arial"/>
          <w:b/>
          <w:bCs/>
          <w:sz w:val="22"/>
          <w:szCs w:val="22"/>
          <w:lang w:eastAsia="es-CO"/>
        </w:rPr>
        <w:t>IDENTIFICACIÓN Y ANÁLISIS DE OPERACIONES INUSUALES</w:t>
      </w:r>
    </w:p>
    <w:p w14:paraId="6339C3BF">
      <w:pPr>
        <w:pStyle w:val="65"/>
        <w:autoSpaceDE w:val="0"/>
        <w:autoSpaceDN w:val="0"/>
        <w:adjustRightInd w:val="0"/>
        <w:ind w:left="720"/>
        <w:rPr>
          <w:rFonts w:ascii="Century Gothic" w:hAnsi="Century Gothic" w:cs="Arial"/>
          <w:b/>
          <w:bCs/>
          <w:sz w:val="22"/>
          <w:szCs w:val="22"/>
          <w:lang w:eastAsia="es-CO"/>
        </w:rPr>
      </w:pPr>
    </w:p>
    <w:p w14:paraId="6E44A17F">
      <w:pPr>
        <w:autoSpaceDE w:val="0"/>
        <w:autoSpaceDN w:val="0"/>
        <w:adjustRightInd w:val="0"/>
        <w:spacing w:after="140" w:line="221" w:lineRule="atLeast"/>
        <w:rPr>
          <w:rFonts w:ascii="Century Gothic" w:hAnsi="Century Gothic" w:cs="ITC Franklin Gothic Std Book" w:eastAsiaTheme="minorHAnsi"/>
          <w:bCs/>
          <w:color w:val="000000"/>
          <w:sz w:val="22"/>
          <w:szCs w:val="22"/>
          <w:lang w:eastAsia="en-US"/>
        </w:rPr>
      </w:pPr>
      <w:r>
        <w:rPr>
          <w:rFonts w:ascii="Century Gothic" w:hAnsi="Century Gothic" w:cs="ITC Franklin Gothic Std Book" w:eastAsiaTheme="minorHAnsi"/>
          <w:color w:val="000000"/>
          <w:sz w:val="22"/>
          <w:szCs w:val="22"/>
          <w:lang w:eastAsia="en-US"/>
        </w:rPr>
        <w:t xml:space="preserve">Tiene como objetivo la identificación de operaciones inusuales, entendidas como aquellas cuyas cuantías o características no guardan relación con la actividad económica de los clientes, asociados, proveedores, empleados/ o terceros relacionados, o que, por su número, por las cantidades transadas o por sus características particulares, se salen de los parámetros de normalidad establecidos por </w:t>
      </w:r>
      <w:r>
        <w:rPr>
          <w:rFonts w:ascii="Century Gothic" w:hAnsi="Century Gothic" w:cs="ITC Franklin Gothic Std Book" w:eastAsiaTheme="minorHAnsi"/>
          <w:bCs/>
          <w:color w:val="000000"/>
          <w:sz w:val="22"/>
          <w:szCs w:val="22"/>
          <w:lang w:eastAsia="en-US"/>
        </w:rPr>
        <w:t>la Entidad. Para tal fin:</w:t>
      </w:r>
    </w:p>
    <w:p w14:paraId="2E39528B">
      <w:pPr>
        <w:pStyle w:val="65"/>
        <w:numPr>
          <w:ilvl w:val="0"/>
          <w:numId w:val="51"/>
        </w:numPr>
        <w:autoSpaceDE w:val="0"/>
        <w:autoSpaceDN w:val="0"/>
        <w:adjustRightInd w:val="0"/>
        <w:spacing w:after="14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Cualquier empleado/colaborador o el área responsable del riesgo de LA/FT que detecte una operación inusual deberá informarlo inmediatamente al Oficial de Cumplimiento, bien sea a través de correo electrónico o comunicación escrita o de comunicación verbal, si la urgencia o las circunstancias así lo ameritan. </w:t>
      </w:r>
    </w:p>
    <w:p w14:paraId="59F47DC5">
      <w:pPr>
        <w:pStyle w:val="65"/>
        <w:ind w:left="360"/>
        <w:rPr>
          <w:rFonts w:ascii="Century Gothic" w:hAnsi="Century Gothic" w:cs="Arial"/>
          <w:sz w:val="22"/>
          <w:szCs w:val="22"/>
        </w:rPr>
      </w:pPr>
    </w:p>
    <w:p w14:paraId="1389D97E">
      <w:pPr>
        <w:pStyle w:val="65"/>
        <w:numPr>
          <w:ilvl w:val="0"/>
          <w:numId w:val="51"/>
        </w:numPr>
        <w:contextualSpacing/>
        <w:rPr>
          <w:rFonts w:ascii="Century Gothic" w:hAnsi="Century Gothic" w:cs="Arial"/>
          <w:sz w:val="22"/>
          <w:szCs w:val="22"/>
        </w:rPr>
      </w:pPr>
      <w:r>
        <w:rPr>
          <w:rFonts w:ascii="Century Gothic" w:hAnsi="Century Gothic" w:cs="Arial"/>
          <w:sz w:val="22"/>
          <w:szCs w:val="22"/>
        </w:rPr>
        <w:t>Para la detección de operaciones inusuales en los diferentes procesos, es importante que los empleados, tengan presente, además del monto y de la frecuencia de las transacciones, las señales de alerta, al igual que conozcan los parámetros del segmento de mercado en el cual se mantiene el Cliente/Asociado.</w:t>
      </w:r>
    </w:p>
    <w:p w14:paraId="2A6971F8">
      <w:pPr>
        <w:pStyle w:val="65"/>
        <w:contextualSpacing/>
        <w:rPr>
          <w:rFonts w:ascii="Century Gothic" w:hAnsi="Century Gothic" w:cs="ITC Franklin Gothic Std Book" w:eastAsiaTheme="minorHAnsi"/>
          <w:color w:val="000000"/>
          <w:sz w:val="22"/>
          <w:szCs w:val="22"/>
          <w:lang w:eastAsia="en-US"/>
        </w:rPr>
      </w:pPr>
    </w:p>
    <w:p w14:paraId="75559EED">
      <w:pPr>
        <w:pStyle w:val="65"/>
        <w:numPr>
          <w:ilvl w:val="0"/>
          <w:numId w:val="51"/>
        </w:numPr>
        <w:autoSpaceDE w:val="0"/>
        <w:autoSpaceDN w:val="0"/>
        <w:adjustRightInd w:val="0"/>
        <w:spacing w:after="14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Por su parte, el Oficial de Cumplimiento o un funcionario designado por él, deberá analizar dicha operación inusual con el fin de evaluar la razonabilidad o no de su origen y determinar si puede estar asociado al riesgo de LA/FT. El análisis se hará con información, documentos y cualquier otro dato que contribuya a su entendimiento. </w:t>
      </w:r>
    </w:p>
    <w:p w14:paraId="3DBD939D">
      <w:pPr>
        <w:pStyle w:val="65"/>
        <w:autoSpaceDE w:val="0"/>
        <w:autoSpaceDN w:val="0"/>
        <w:adjustRightInd w:val="0"/>
        <w:spacing w:after="140"/>
        <w:ind w:left="360"/>
        <w:contextualSpacing/>
        <w:rPr>
          <w:rFonts w:ascii="Century Gothic" w:hAnsi="Century Gothic" w:cs="ITC Franklin Gothic Std Book" w:eastAsiaTheme="minorHAnsi"/>
          <w:color w:val="000000"/>
          <w:sz w:val="22"/>
          <w:szCs w:val="22"/>
          <w:lang w:eastAsia="en-US"/>
        </w:rPr>
      </w:pPr>
    </w:p>
    <w:p w14:paraId="70BEE667">
      <w:pPr>
        <w:pStyle w:val="65"/>
        <w:numPr>
          <w:ilvl w:val="0"/>
          <w:numId w:val="51"/>
        </w:numPr>
        <w:autoSpaceDE w:val="0"/>
        <w:autoSpaceDN w:val="0"/>
        <w:adjustRightInd w:val="0"/>
        <w:spacing w:after="140"/>
        <w:contextualSpacing/>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En el evento en que existan explicaciones o justificaciones que hagan razonable la operación considerada como inusual, se archivará la actuación junto con dichas explicaciones, nombre del responsable, fecha y hora; para su seguimiento posterior.</w:t>
      </w:r>
    </w:p>
    <w:p w14:paraId="2CD4BCC9">
      <w:pPr>
        <w:pStyle w:val="65"/>
        <w:ind w:left="360"/>
        <w:rPr>
          <w:rFonts w:ascii="Century Gothic" w:hAnsi="Century Gothic" w:cs="Arial"/>
          <w:sz w:val="22"/>
          <w:szCs w:val="22"/>
        </w:rPr>
      </w:pPr>
    </w:p>
    <w:p w14:paraId="6699E471">
      <w:pPr>
        <w:pStyle w:val="65"/>
        <w:numPr>
          <w:ilvl w:val="0"/>
          <w:numId w:val="51"/>
        </w:numPr>
        <w:rPr>
          <w:rFonts w:ascii="Century Gothic" w:hAnsi="Century Gothic" w:cs="Arial"/>
          <w:sz w:val="22"/>
          <w:szCs w:val="22"/>
        </w:rPr>
      </w:pPr>
      <w:r>
        <w:rPr>
          <w:rFonts w:ascii="Century Gothic" w:hAnsi="Century Gothic" w:cs="Arial"/>
          <w:sz w:val="22"/>
          <w:szCs w:val="22"/>
        </w:rPr>
        <w:t>Si durante el trimestre, en la Entidad no detectan operaciones inusuales, el responsable designado debe igualmente informar al Oficial de Cumplimiento de este hecho.</w:t>
      </w:r>
    </w:p>
    <w:p w14:paraId="720F44B4">
      <w:pPr>
        <w:pStyle w:val="65"/>
        <w:rPr>
          <w:rFonts w:ascii="Century Gothic" w:hAnsi="Century Gothic" w:cs="Arial"/>
          <w:sz w:val="22"/>
          <w:szCs w:val="22"/>
        </w:rPr>
      </w:pPr>
    </w:p>
    <w:p w14:paraId="1F6EA07B">
      <w:pPr>
        <w:pStyle w:val="65"/>
        <w:ind w:left="360"/>
        <w:rPr>
          <w:rFonts w:ascii="Century Gothic" w:hAnsi="Century Gothic" w:cs="Arial"/>
          <w:sz w:val="22"/>
          <w:szCs w:val="22"/>
        </w:rPr>
      </w:pPr>
    </w:p>
    <w:p w14:paraId="35F21920">
      <w:pPr>
        <w:pStyle w:val="65"/>
        <w:ind w:left="360"/>
        <w:rPr>
          <w:rFonts w:ascii="Century Gothic" w:hAnsi="Century Gothic" w:cs="Arial"/>
          <w:sz w:val="22"/>
          <w:szCs w:val="22"/>
        </w:rPr>
      </w:pPr>
    </w:p>
    <w:p w14:paraId="23BAA436">
      <w:pPr>
        <w:pStyle w:val="65"/>
        <w:ind w:left="360"/>
        <w:rPr>
          <w:rFonts w:ascii="Century Gothic" w:hAnsi="Century Gothic" w:cs="Arial"/>
          <w:sz w:val="22"/>
          <w:szCs w:val="22"/>
        </w:rPr>
      </w:pPr>
    </w:p>
    <w:p w14:paraId="2D33F653">
      <w:pPr>
        <w:pStyle w:val="65"/>
        <w:numPr>
          <w:ilvl w:val="1"/>
          <w:numId w:val="12"/>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DETERMINACIÓN Y REPORTE DE OPERACIONES SOSPECHOSAS.</w:t>
      </w:r>
    </w:p>
    <w:p w14:paraId="3D7D8D78">
      <w:pPr>
        <w:autoSpaceDE w:val="0"/>
        <w:autoSpaceDN w:val="0"/>
        <w:adjustRightInd w:val="0"/>
        <w:rPr>
          <w:rFonts w:ascii="Century Gothic" w:hAnsi="Century Gothic" w:cs="Arial"/>
          <w:b/>
          <w:bCs/>
          <w:sz w:val="22"/>
          <w:szCs w:val="22"/>
          <w:lang w:val="es-ES" w:eastAsia="es-CO"/>
        </w:rPr>
      </w:pPr>
    </w:p>
    <w:p w14:paraId="14A8FABB">
      <w:pPr>
        <w:autoSpaceDE w:val="0"/>
        <w:autoSpaceDN w:val="0"/>
        <w:adjustRightInd w:val="0"/>
        <w:spacing w:after="14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La confrontación y análisis de las operaciones detectadas como inusuales, debe permitir, conforme a las razones objetivas establecidas por </w:t>
      </w:r>
      <w:r>
        <w:rPr>
          <w:rFonts w:ascii="Century Gothic" w:hAnsi="Century Gothic" w:cs="ITC Franklin Gothic Std Book" w:eastAsiaTheme="minorHAnsi"/>
          <w:bCs/>
          <w:color w:val="000000"/>
          <w:sz w:val="22"/>
          <w:szCs w:val="22"/>
          <w:lang w:eastAsia="en-US"/>
        </w:rPr>
        <w:t>la Entidad,</w:t>
      </w:r>
      <w:r>
        <w:rPr>
          <w:rFonts w:ascii="Century Gothic" w:hAnsi="Century Gothic" w:cs="ITC Franklin Gothic Std Book" w:eastAsiaTheme="minorHAnsi"/>
          <w:color w:val="000000"/>
          <w:sz w:val="22"/>
          <w:szCs w:val="22"/>
          <w:lang w:eastAsia="en-US"/>
        </w:rPr>
        <w:t xml:space="preserve"> identificar si una operación es o no sospechosa y reportarla de forma opor</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tuna a la UIAF y/o a la autoridad competente. Por lo tanto:</w:t>
      </w:r>
    </w:p>
    <w:p w14:paraId="31A78C03">
      <w:pPr>
        <w:pStyle w:val="65"/>
        <w:numPr>
          <w:ilvl w:val="0"/>
          <w:numId w:val="52"/>
        </w:numPr>
        <w:autoSpaceDE w:val="0"/>
        <w:autoSpaceDN w:val="0"/>
        <w:adjustRightInd w:val="0"/>
        <w:spacing w:after="14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Todas aquellas operaciones inusuales que una vez analizadas y documentadas suficientemente no puedan ser explicadas o justificadas razonablemen</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 xml:space="preserve">te serán determinadas como operaciones sospechosas. </w:t>
      </w:r>
    </w:p>
    <w:p w14:paraId="03B30BC9">
      <w:pPr>
        <w:pStyle w:val="65"/>
        <w:numPr>
          <w:ilvl w:val="0"/>
          <w:numId w:val="52"/>
        </w:numPr>
        <w:autoSpaceDE w:val="0"/>
        <w:autoSpaceDN w:val="0"/>
        <w:adjustRightInd w:val="0"/>
        <w:spacing w:after="14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Estas operaciones sospechosas internas deberán ser debidamente documentadas para que el Oficial de Cumplimiento determine o no su respectivo reporte a la UIAF. </w:t>
      </w:r>
    </w:p>
    <w:p w14:paraId="06D7D672">
      <w:pPr>
        <w:pStyle w:val="65"/>
        <w:numPr>
          <w:ilvl w:val="0"/>
          <w:numId w:val="52"/>
        </w:numPr>
        <w:autoSpaceDE w:val="0"/>
        <w:autoSpaceDN w:val="0"/>
        <w:adjustRightInd w:val="0"/>
        <w:spacing w:after="14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De acuerdo con lo anterior, se considerarán como razones objetivas para calificar una operación como sospechosa, entre otros, los siguientes criterios: </w:t>
      </w:r>
    </w:p>
    <w:p w14:paraId="214A7E46">
      <w:pPr>
        <w:pStyle w:val="65"/>
        <w:numPr>
          <w:ilvl w:val="0"/>
          <w:numId w:val="53"/>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Incrementos (patrimonial, de ingresos, de operaciones, de cantidades, etc.) no justificados o por fuera de los promedios del respectivo sector o activi</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dad económica.</w:t>
      </w:r>
    </w:p>
    <w:p w14:paraId="41DB195F">
      <w:pPr>
        <w:pStyle w:val="65"/>
        <w:numPr>
          <w:ilvl w:val="0"/>
          <w:numId w:val="53"/>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Presunto uso indebido de identidades, por ejemplo: uso de números de identificación inexistentes, números de identificación de personas fallecidas, su</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 xml:space="preserve">plantación de personas, alteración de nombres. </w:t>
      </w:r>
    </w:p>
    <w:p w14:paraId="0D693877">
      <w:pPr>
        <w:pStyle w:val="65"/>
        <w:numPr>
          <w:ilvl w:val="0"/>
          <w:numId w:val="53"/>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Presentación de documentos o datos o información presuntamente falsa. </w:t>
      </w:r>
    </w:p>
    <w:p w14:paraId="18A7F6BD">
      <w:pPr>
        <w:pStyle w:val="65"/>
        <w:numPr>
          <w:ilvl w:val="0"/>
          <w:numId w:val="53"/>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Actuación en nombre de terceros o negocios con posibilidades de testaferrato. </w:t>
      </w:r>
    </w:p>
    <w:p w14:paraId="7EB16B67">
      <w:pPr>
        <w:pStyle w:val="65"/>
        <w:numPr>
          <w:ilvl w:val="0"/>
          <w:numId w:val="53"/>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Realización de operaciones ficticias o simuladas, como el uso de empresas aparentemente de fachada, de papel o pantalla. </w:t>
      </w:r>
    </w:p>
    <w:p w14:paraId="777237D7">
      <w:pPr>
        <w:pStyle w:val="65"/>
        <w:numPr>
          <w:ilvl w:val="0"/>
          <w:numId w:val="53"/>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Relación con personas vinculadas o presuntamente vinculadas a actividades delictivas. </w:t>
      </w:r>
    </w:p>
    <w:p w14:paraId="73D522D2">
      <w:pPr>
        <w:pStyle w:val="65"/>
        <w:numPr>
          <w:ilvl w:val="0"/>
          <w:numId w:val="53"/>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Relación con bienes de presunto origen ilícito. </w:t>
      </w:r>
    </w:p>
    <w:p w14:paraId="52A5CBE6">
      <w:pPr>
        <w:pStyle w:val="65"/>
        <w:numPr>
          <w:ilvl w:val="0"/>
          <w:numId w:val="53"/>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Fraccionamiento o uso indebido del dinero en efectivo. </w:t>
      </w:r>
    </w:p>
    <w:p w14:paraId="3D8C08E7">
      <w:pPr>
        <w:pStyle w:val="65"/>
        <w:numPr>
          <w:ilvl w:val="0"/>
          <w:numId w:val="53"/>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Una vez calificada una operación como sospechosa por parte del Oficial de Cumplimiento, en forma inmediata se debe informar a la UIAF a través del respec</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tivo Reporte de Operaciones Sospechosas (ROS), de acuerdo con los procedimien</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 xml:space="preserve">tos y metodología señalada por esa entidad. </w:t>
      </w:r>
    </w:p>
    <w:p w14:paraId="403E514C">
      <w:pPr>
        <w:pStyle w:val="65"/>
        <w:autoSpaceDE w:val="0"/>
        <w:autoSpaceDN w:val="0"/>
        <w:adjustRightInd w:val="0"/>
        <w:ind w:left="1069"/>
        <w:rPr>
          <w:rFonts w:ascii="Century Gothic" w:hAnsi="Century Gothic" w:cs="ITC Franklin Gothic Std Book" w:eastAsiaTheme="minorHAnsi"/>
          <w:color w:val="000000"/>
          <w:sz w:val="22"/>
          <w:szCs w:val="22"/>
          <w:lang w:eastAsia="en-US"/>
        </w:rPr>
      </w:pPr>
    </w:p>
    <w:p w14:paraId="31C1A01C">
      <w:pPr>
        <w:pStyle w:val="65"/>
        <w:numPr>
          <w:ilvl w:val="0"/>
          <w:numId w:val="54"/>
        </w:numPr>
        <w:autoSpaceDE w:val="0"/>
        <w:autoSpaceDN w:val="0"/>
        <w:adjustRightInd w:val="0"/>
        <w:spacing w:after="16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Cuando las operaciones, negocios y contratos intentados son el motivo del repor</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 xml:space="preserve">te ROS, </w:t>
      </w:r>
      <w:r>
        <w:rPr>
          <w:rFonts w:ascii="Century Gothic" w:hAnsi="Century Gothic" w:cs="ITC Franklin Gothic Std Book" w:eastAsiaTheme="minorHAnsi"/>
          <w:bCs/>
          <w:color w:val="000000"/>
          <w:sz w:val="22"/>
          <w:szCs w:val="22"/>
          <w:lang w:eastAsia="en-US"/>
        </w:rPr>
        <w:t>la Entidad</w:t>
      </w:r>
      <w:r>
        <w:rPr>
          <w:rFonts w:ascii="Century Gothic" w:hAnsi="Century Gothic" w:cs="ITC Franklin Gothic Std Book" w:eastAsiaTheme="minorHAnsi"/>
          <w:color w:val="000000"/>
          <w:sz w:val="22"/>
          <w:szCs w:val="22"/>
          <w:lang w:eastAsia="en-US"/>
        </w:rPr>
        <w:t xml:space="preserve"> rechazará inmediatamente dicha actuación y no se perfeccionará tal operación o vínculo contractual con </w:t>
      </w:r>
      <w:r>
        <w:rPr>
          <w:rFonts w:ascii="Century Gothic" w:hAnsi="Century Gothic" w:cs="ITC Franklin Gothic Std Book" w:eastAsiaTheme="minorHAnsi"/>
          <w:bCs/>
          <w:color w:val="000000"/>
          <w:sz w:val="22"/>
          <w:szCs w:val="22"/>
          <w:lang w:eastAsia="en-US"/>
        </w:rPr>
        <w:t>la Organización.</w:t>
      </w:r>
    </w:p>
    <w:p w14:paraId="6C28214B">
      <w:pPr>
        <w:pStyle w:val="65"/>
        <w:numPr>
          <w:ilvl w:val="0"/>
          <w:numId w:val="54"/>
        </w:numPr>
        <w:autoSpaceDE w:val="0"/>
        <w:autoSpaceDN w:val="0"/>
        <w:adjustRightInd w:val="0"/>
        <w:spacing w:after="16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La detección de una operación sospechosa de una persona natural o jurídica vincu</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lada con la Entidad, no implica la terminación de la relación contrac</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 xml:space="preserve">tual o comercial. </w:t>
      </w:r>
    </w:p>
    <w:p w14:paraId="5A923341">
      <w:pPr>
        <w:pStyle w:val="65"/>
        <w:numPr>
          <w:ilvl w:val="0"/>
          <w:numId w:val="54"/>
        </w:numPr>
        <w:autoSpaceDE w:val="0"/>
        <w:autoSpaceDN w:val="0"/>
        <w:adjustRightInd w:val="0"/>
        <w:spacing w:after="16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Una vez detectada la operación, calificada como sospechosa y reportada a la UIAF, el Oficial de Cumplimiento junto con la Gerencia decidirán sobre la continuidad o no de la relación contractual o comercial. En caso afirmativo, se debe mantener una vigilancia especial sobre el cliente, asociado, proveedor, empleado/colaborador o tercero relacionado y sus operaciones, para detectar posibles nue</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vas transacciones inusuales. En caso negativo, el área pertinente deberá realizar los procedimientos necesarios para la desvinculación o cancelación del vín</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 xml:space="preserve">culo contractual o comercial. </w:t>
      </w:r>
    </w:p>
    <w:p w14:paraId="35C52BF1">
      <w:pPr>
        <w:pStyle w:val="65"/>
        <w:numPr>
          <w:ilvl w:val="0"/>
          <w:numId w:val="54"/>
        </w:numPr>
        <w:autoSpaceDE w:val="0"/>
        <w:autoSpaceDN w:val="0"/>
        <w:adjustRightInd w:val="0"/>
        <w:spacing w:after="16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Tanto el ROS como los estudios y análisis previos a la calificación de la operación como sospechosa, se encuentran sujetos a una reserva legal, por lo que debe ser manejada con confidencialidad y secreto por todos los empleados y relacionados con </w:t>
      </w:r>
      <w:r>
        <w:rPr>
          <w:rFonts w:ascii="Century Gothic" w:hAnsi="Century Gothic" w:cs="ITC Franklin Gothic Std Book" w:eastAsiaTheme="minorHAnsi"/>
          <w:bCs/>
          <w:color w:val="000000"/>
          <w:sz w:val="22"/>
          <w:szCs w:val="22"/>
          <w:lang w:eastAsia="en-US"/>
        </w:rPr>
        <w:t>la Entidad,</w:t>
      </w:r>
      <w:r>
        <w:rPr>
          <w:rFonts w:ascii="Century Gothic" w:hAnsi="Century Gothic" w:cs="ITC Franklin Gothic Std Book" w:eastAsiaTheme="minorHAnsi"/>
          <w:color w:val="000000"/>
          <w:sz w:val="22"/>
          <w:szCs w:val="22"/>
          <w:lang w:eastAsia="en-US"/>
        </w:rPr>
        <w:t xml:space="preserve"> sin perjuicio de las sanciones aquí previstas. </w:t>
      </w:r>
    </w:p>
    <w:p w14:paraId="68338288">
      <w:pPr>
        <w:pStyle w:val="65"/>
        <w:numPr>
          <w:ilvl w:val="0"/>
          <w:numId w:val="54"/>
        </w:numPr>
        <w:autoSpaceDE w:val="0"/>
        <w:autoSpaceDN w:val="0"/>
        <w:adjustRightInd w:val="0"/>
        <w:spacing w:after="16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Bajo ninguna circunstancia se dará a conocer la información de las operaciones reportadas como sospechosas a la UIAF. Lo anterior será sancionado de acuer</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do con el Reglamento Interno de Trabajo y demás normas o reglamentos.</w:t>
      </w:r>
    </w:p>
    <w:p w14:paraId="1B238E46">
      <w:pPr>
        <w:pStyle w:val="65"/>
        <w:numPr>
          <w:ilvl w:val="0"/>
          <w:numId w:val="54"/>
        </w:numPr>
        <w:autoSpaceDE w:val="0"/>
        <w:autoSpaceDN w:val="0"/>
        <w:adjustRightInd w:val="0"/>
        <w:jc w:val="left"/>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Es importante indicar que un ROS se caracteriza por: </w:t>
      </w:r>
    </w:p>
    <w:p w14:paraId="3E15D85D">
      <w:pPr>
        <w:pStyle w:val="65"/>
        <w:autoSpaceDE w:val="0"/>
        <w:autoSpaceDN w:val="0"/>
        <w:adjustRightInd w:val="0"/>
        <w:ind w:left="720"/>
        <w:jc w:val="left"/>
        <w:rPr>
          <w:rFonts w:ascii="Century Gothic" w:hAnsi="Century Gothic" w:cs="Calibri" w:eastAsiaTheme="minorHAnsi"/>
          <w:color w:val="000000"/>
          <w:sz w:val="22"/>
          <w:szCs w:val="22"/>
          <w:lang w:eastAsia="en-US"/>
        </w:rPr>
      </w:pPr>
    </w:p>
    <w:p w14:paraId="671A45D1">
      <w:pPr>
        <w:pStyle w:val="65"/>
        <w:numPr>
          <w:ilvl w:val="0"/>
          <w:numId w:val="55"/>
        </w:numPr>
        <w:autoSpaceDE w:val="0"/>
        <w:autoSpaceDN w:val="0"/>
        <w:adjustRightInd w:val="0"/>
        <w:spacing w:after="22"/>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Es reservado, es decir, que la información no es compartida con terceros </w:t>
      </w:r>
    </w:p>
    <w:p w14:paraId="75F5618D">
      <w:pPr>
        <w:pStyle w:val="65"/>
        <w:numPr>
          <w:ilvl w:val="0"/>
          <w:numId w:val="55"/>
        </w:numPr>
        <w:autoSpaceDE w:val="0"/>
        <w:autoSpaceDN w:val="0"/>
        <w:adjustRightInd w:val="0"/>
        <w:spacing w:after="22"/>
        <w:jc w:val="left"/>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No constituye una denuncia </w:t>
      </w:r>
    </w:p>
    <w:p w14:paraId="61AC5D60">
      <w:pPr>
        <w:pStyle w:val="65"/>
        <w:numPr>
          <w:ilvl w:val="0"/>
          <w:numId w:val="55"/>
        </w:numPr>
        <w:autoSpaceDE w:val="0"/>
        <w:autoSpaceDN w:val="0"/>
        <w:adjustRightInd w:val="0"/>
        <w:spacing w:after="22"/>
        <w:jc w:val="left"/>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No se debe tener certeza del delito </w:t>
      </w:r>
    </w:p>
    <w:p w14:paraId="2C870F28">
      <w:pPr>
        <w:pStyle w:val="65"/>
        <w:numPr>
          <w:ilvl w:val="0"/>
          <w:numId w:val="55"/>
        </w:numPr>
        <w:autoSpaceDE w:val="0"/>
        <w:autoSpaceDN w:val="0"/>
        <w:adjustRightInd w:val="0"/>
        <w:jc w:val="left"/>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No genera ningún tipo de responsabilidad penal </w:t>
      </w:r>
    </w:p>
    <w:p w14:paraId="50DF35AA">
      <w:pPr>
        <w:autoSpaceDE w:val="0"/>
        <w:autoSpaceDN w:val="0"/>
        <w:adjustRightInd w:val="0"/>
        <w:rPr>
          <w:rFonts w:ascii="Century Gothic" w:hAnsi="Century Gothic" w:cs="Arial"/>
          <w:color w:val="FF0000"/>
          <w:sz w:val="22"/>
          <w:szCs w:val="22"/>
          <w:lang w:val="es-ES" w:eastAsia="es-CO"/>
        </w:rPr>
      </w:pPr>
    </w:p>
    <w:p w14:paraId="0F1E00BC">
      <w:pPr>
        <w:autoSpaceDE w:val="0"/>
        <w:autoSpaceDN w:val="0"/>
        <w:adjustRightInd w:val="0"/>
        <w:rPr>
          <w:rFonts w:ascii="Century Gothic" w:hAnsi="Century Gothic" w:cs="Arial"/>
          <w:color w:val="FF0000"/>
          <w:sz w:val="22"/>
          <w:szCs w:val="22"/>
          <w:lang w:val="es-ES" w:eastAsia="es-CO"/>
        </w:rPr>
      </w:pPr>
    </w:p>
    <w:p w14:paraId="1AABC9BA">
      <w:pPr>
        <w:pStyle w:val="65"/>
        <w:numPr>
          <w:ilvl w:val="3"/>
          <w:numId w:val="8"/>
        </w:numPr>
        <w:autoSpaceDE w:val="0"/>
        <w:autoSpaceDN w:val="0"/>
        <w:adjustRightInd w:val="0"/>
        <w:rPr>
          <w:rFonts w:ascii="Century Gothic" w:hAnsi="Century Gothic" w:cs="Arial"/>
          <w:b/>
          <w:sz w:val="22"/>
          <w:szCs w:val="22"/>
          <w:lang w:eastAsia="es-CO"/>
        </w:rPr>
      </w:pPr>
      <w:r>
        <w:rPr>
          <w:rFonts w:ascii="Century Gothic" w:hAnsi="Century Gothic" w:cs="Arial"/>
          <w:b/>
          <w:sz w:val="22"/>
          <w:szCs w:val="22"/>
          <w:lang w:eastAsia="es-CO"/>
        </w:rPr>
        <w:t>INSTRUMENTOS</w:t>
      </w:r>
    </w:p>
    <w:p w14:paraId="4B669A98">
      <w:pPr>
        <w:autoSpaceDE w:val="0"/>
        <w:autoSpaceDN w:val="0"/>
        <w:adjustRightInd w:val="0"/>
        <w:rPr>
          <w:rFonts w:ascii="Century Gothic" w:hAnsi="Century Gothic" w:cs="Arial"/>
          <w:b/>
          <w:sz w:val="22"/>
          <w:szCs w:val="22"/>
          <w:lang w:eastAsia="es-CO"/>
        </w:rPr>
      </w:pPr>
    </w:p>
    <w:p w14:paraId="3A4591A3">
      <w:pPr>
        <w:rPr>
          <w:rFonts w:ascii="Century Gothic" w:hAnsi="Century Gothic"/>
          <w:sz w:val="22"/>
          <w:szCs w:val="22"/>
        </w:rPr>
      </w:pPr>
      <w:r>
        <w:rPr>
          <w:rFonts w:ascii="Century Gothic" w:hAnsi="Century Gothic"/>
          <w:sz w:val="22"/>
          <w:szCs w:val="22"/>
        </w:rPr>
        <w:t>Para que los mecanismos adoptados por la Entidad operen de manera efectiva, eficiente y oportuna, el SARLAFT de la Entidad debe contar con los siguientes instrumentos:</w:t>
      </w:r>
    </w:p>
    <w:p w14:paraId="19F0DA95">
      <w:pPr>
        <w:rPr>
          <w:rFonts w:ascii="Century Gothic" w:hAnsi="Century Gothic"/>
          <w:sz w:val="22"/>
          <w:szCs w:val="22"/>
        </w:rPr>
      </w:pPr>
    </w:p>
    <w:p w14:paraId="47FE3ABA">
      <w:pPr>
        <w:pStyle w:val="65"/>
        <w:numPr>
          <w:ilvl w:val="0"/>
          <w:numId w:val="56"/>
        </w:numPr>
        <w:rPr>
          <w:rFonts w:ascii="Century Gothic" w:hAnsi="Century Gothic"/>
          <w:b/>
          <w:sz w:val="22"/>
          <w:szCs w:val="22"/>
        </w:rPr>
      </w:pPr>
      <w:r>
        <w:rPr>
          <w:rFonts w:ascii="Century Gothic" w:hAnsi="Century Gothic"/>
          <w:b/>
          <w:sz w:val="22"/>
          <w:szCs w:val="22"/>
        </w:rPr>
        <w:t>SEÑALES DE ALERTA</w:t>
      </w:r>
    </w:p>
    <w:p w14:paraId="7F1FDF09">
      <w:pPr>
        <w:pStyle w:val="65"/>
        <w:ind w:left="720"/>
        <w:rPr>
          <w:rFonts w:ascii="Century Gothic" w:hAnsi="Century Gothic"/>
          <w:sz w:val="22"/>
          <w:szCs w:val="22"/>
        </w:rPr>
      </w:pPr>
    </w:p>
    <w:p w14:paraId="04BC6AF0">
      <w:pPr>
        <w:rPr>
          <w:rFonts w:ascii="Century Gothic" w:hAnsi="Century Gothic" w:cs="Arial"/>
          <w:sz w:val="22"/>
          <w:szCs w:val="22"/>
        </w:rPr>
      </w:pPr>
      <w:r>
        <w:rPr>
          <w:rFonts w:ascii="Century Gothic" w:hAnsi="Century Gothic" w:cs="Arial"/>
          <w:sz w:val="22"/>
          <w:szCs w:val="22"/>
        </w:rPr>
        <w:t xml:space="preserve">Comprende los hechos, situaciones, eventos, cuantías, indicadores cuantitativos y cualitativos, razones financieras y demás información que la Entidad determine como relevante, a partir de los cuales se puede inferir la posible existencia de un hecho o situación que escapa a lo que la Entidad en el giro ordinario de sus operaciones, ha determinado como normal.  </w:t>
      </w:r>
    </w:p>
    <w:p w14:paraId="4B5F26AB">
      <w:pPr>
        <w:pStyle w:val="106"/>
        <w:rPr>
          <w:rFonts w:ascii="Century Gothic" w:hAnsi="Century Gothic" w:cs="Arial"/>
          <w:szCs w:val="22"/>
          <w:lang w:val="es-CO"/>
        </w:rPr>
      </w:pPr>
    </w:p>
    <w:p w14:paraId="1C5B51C7">
      <w:pPr>
        <w:rPr>
          <w:rFonts w:ascii="Century Gothic" w:hAnsi="Century Gothic" w:cs="Arial"/>
          <w:sz w:val="22"/>
          <w:szCs w:val="22"/>
        </w:rPr>
      </w:pPr>
      <w:r>
        <w:rPr>
          <w:rFonts w:ascii="Century Gothic" w:hAnsi="Century Gothic" w:cs="Arial"/>
          <w:sz w:val="22"/>
          <w:szCs w:val="22"/>
        </w:rPr>
        <w:t xml:space="preserve">Muestran los comportamientos particulares de los asociados/clientes o relacionados contractuales respecto del manejo de productos y servicios y las situaciones atípicas que presentan las operaciones  que pueden encubrir operaciones de lavado de activos y/o financiamiento del terrorismo. </w:t>
      </w:r>
    </w:p>
    <w:p w14:paraId="765D0918">
      <w:pPr>
        <w:rPr>
          <w:rFonts w:ascii="Century Gothic" w:hAnsi="Century Gothic" w:cs="Arial"/>
          <w:sz w:val="22"/>
          <w:szCs w:val="22"/>
        </w:rPr>
      </w:pPr>
    </w:p>
    <w:p w14:paraId="6A32DAB2">
      <w:pPr>
        <w:rPr>
          <w:rFonts w:ascii="Century Gothic" w:hAnsi="Century Gothic" w:cs="Arial"/>
          <w:sz w:val="22"/>
          <w:szCs w:val="22"/>
        </w:rPr>
      </w:pPr>
      <w:r>
        <w:rPr>
          <w:rFonts w:ascii="Century Gothic" w:hAnsi="Century Gothic" w:cs="Arial"/>
          <w:sz w:val="22"/>
          <w:szCs w:val="22"/>
        </w:rPr>
        <w:t>Se hace necesario aclarar que no todas las operaciones que presentan comportamientos atípicos e inusuales son operaciones ilegales, por tal razón, el hecho de identificar señales de alerta no significa que la operación deba ser reportada de manera inmediata y automática a las autoridades como sospechosa.</w:t>
      </w:r>
    </w:p>
    <w:p w14:paraId="3BFCDDF8">
      <w:pPr>
        <w:rPr>
          <w:rFonts w:ascii="Century Gothic" w:hAnsi="Century Gothic" w:cs="Arial"/>
          <w:sz w:val="22"/>
          <w:szCs w:val="22"/>
        </w:rPr>
      </w:pPr>
    </w:p>
    <w:p w14:paraId="6EDC3DDF">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También las señales de alerta son pautas fijadas con el ánimo de establecer herramientas que identifiquen la posible existencia de una actividad delictiva como el lavado de activos, que afecta el giro normal de las operaciones de las entidades financieras. </w:t>
      </w:r>
    </w:p>
    <w:p w14:paraId="123E787E">
      <w:pPr>
        <w:autoSpaceDE w:val="0"/>
        <w:autoSpaceDN w:val="0"/>
        <w:adjustRightInd w:val="0"/>
        <w:rPr>
          <w:rFonts w:ascii="Century Gothic" w:hAnsi="Century Gothic" w:cs="Arial" w:eastAsiaTheme="minorHAnsi"/>
          <w:color w:val="000000"/>
          <w:sz w:val="22"/>
          <w:szCs w:val="22"/>
          <w:lang w:eastAsia="en-US"/>
        </w:rPr>
      </w:pPr>
    </w:p>
    <w:p w14:paraId="01A14395">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Ante la detección de una señal de alerta, el funcionario debe informar al Oficial de Cumplimiento para adelantar las acciones a que haya lugar de acuerdo con lo dispuesto en el presente manual.</w:t>
      </w:r>
    </w:p>
    <w:p w14:paraId="22AA5B63">
      <w:pPr>
        <w:rPr>
          <w:rFonts w:ascii="Century Gothic" w:hAnsi="Century Gothic" w:cs="Arial"/>
          <w:sz w:val="22"/>
          <w:szCs w:val="22"/>
        </w:rPr>
      </w:pPr>
    </w:p>
    <w:p w14:paraId="7C80978A">
      <w:pPr>
        <w:rPr>
          <w:rFonts w:ascii="Century Gothic" w:hAnsi="Century Gothic" w:cs="Arial"/>
          <w:sz w:val="22"/>
          <w:szCs w:val="22"/>
        </w:rPr>
      </w:pPr>
      <w:r>
        <w:rPr>
          <w:rFonts w:ascii="Century Gothic" w:hAnsi="Century Gothic" w:cs="Arial"/>
          <w:sz w:val="22"/>
          <w:szCs w:val="22"/>
        </w:rPr>
        <w:t>En los casos que se presente una señal de alerta y que fruto de los análisis se requiera profundizar en dicha alerta o inusualidad, se deben solicitar documentos soportes y si el Oficial de Cumplimiento lo considera, realizar las visitas a los clientes.</w:t>
      </w:r>
    </w:p>
    <w:p w14:paraId="6C4285C6">
      <w:pPr>
        <w:autoSpaceDE w:val="0"/>
        <w:autoSpaceDN w:val="0"/>
        <w:adjustRightInd w:val="0"/>
        <w:jc w:val="left"/>
        <w:rPr>
          <w:rFonts w:ascii="Century Gothic" w:hAnsi="Century Gothic" w:cs="ITC Franklin Gothic Std Book" w:eastAsiaTheme="minorHAnsi"/>
          <w:color w:val="000000"/>
          <w:sz w:val="22"/>
          <w:szCs w:val="22"/>
          <w:lang w:eastAsia="en-US"/>
        </w:rPr>
      </w:pPr>
    </w:p>
    <w:p w14:paraId="4F12F018">
      <w:pPr>
        <w:rPr>
          <w:rFonts w:ascii="Century Gothic" w:hAnsi="Century Gothic" w:cs="Arial"/>
          <w:sz w:val="22"/>
          <w:szCs w:val="22"/>
        </w:rPr>
      </w:pPr>
      <w:r>
        <w:rPr>
          <w:rFonts w:ascii="Century Gothic" w:hAnsi="Century Gothic" w:cs="Arial"/>
          <w:sz w:val="22"/>
          <w:szCs w:val="22"/>
        </w:rPr>
        <w:t>Las siguientes señales de alerta serán eje fundamental para el monitoreo de las diferentes operaciones de los asociados/clientes o relacionados contractuales:</w:t>
      </w:r>
    </w:p>
    <w:p w14:paraId="2491A99A">
      <w:pPr>
        <w:autoSpaceDE w:val="0"/>
        <w:autoSpaceDN w:val="0"/>
        <w:adjustRightInd w:val="0"/>
        <w:jc w:val="left"/>
        <w:rPr>
          <w:rFonts w:ascii="Century Gothic" w:hAnsi="Century Gothic" w:cs="ITC Franklin Gothic Std Book" w:eastAsiaTheme="minorHAnsi"/>
          <w:color w:val="000000"/>
          <w:sz w:val="22"/>
          <w:szCs w:val="22"/>
          <w:lang w:eastAsia="en-US"/>
        </w:rPr>
      </w:pPr>
    </w:p>
    <w:p w14:paraId="03244D78">
      <w:pPr>
        <w:autoSpaceDE w:val="0"/>
        <w:autoSpaceDN w:val="0"/>
        <w:adjustRightInd w:val="0"/>
        <w:rPr>
          <w:rFonts w:ascii="Century Gothic" w:hAnsi="Century Gothic" w:cs="ITC Franklin Gothic Std Book" w:eastAsiaTheme="minorHAnsi"/>
          <w:b/>
          <w:color w:val="000000"/>
          <w:sz w:val="22"/>
          <w:szCs w:val="22"/>
          <w:lang w:eastAsia="en-US"/>
        </w:rPr>
      </w:pPr>
      <w:r>
        <w:rPr>
          <w:rFonts w:ascii="Century Gothic" w:hAnsi="Century Gothic" w:cs="ITC Franklin Gothic Std Book" w:eastAsiaTheme="minorHAnsi"/>
          <w:b/>
          <w:color w:val="000000"/>
          <w:sz w:val="22"/>
          <w:szCs w:val="22"/>
          <w:lang w:eastAsia="en-US"/>
        </w:rPr>
        <w:t>Operaciones o conductas inusuales relativas a los Asociados/Clientes de la Entidad</w:t>
      </w:r>
    </w:p>
    <w:p w14:paraId="22BCA3E0">
      <w:pPr>
        <w:autoSpaceDE w:val="0"/>
        <w:autoSpaceDN w:val="0"/>
        <w:adjustRightInd w:val="0"/>
        <w:jc w:val="left"/>
        <w:rPr>
          <w:rFonts w:ascii="Century Gothic" w:hAnsi="Century Gothic" w:cs="ITC Franklin Gothic Std Book" w:eastAsiaTheme="minorHAnsi"/>
          <w:b/>
          <w:color w:val="000000"/>
          <w:sz w:val="22"/>
          <w:szCs w:val="22"/>
          <w:lang w:eastAsia="en-US"/>
        </w:rPr>
      </w:pPr>
    </w:p>
    <w:p w14:paraId="39E79375">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El cliente/asociado se niega a proporcionar la información solicitada por la Entidad.</w:t>
      </w:r>
    </w:p>
    <w:p w14:paraId="0410BA23">
      <w:pPr>
        <w:autoSpaceDE w:val="0"/>
        <w:autoSpaceDN w:val="0"/>
        <w:adjustRightInd w:val="0"/>
        <w:rPr>
          <w:rFonts w:ascii="Century Gothic" w:hAnsi="Century Gothic" w:cs="ITC Franklin Gothic Std Book" w:eastAsiaTheme="minorHAnsi"/>
          <w:color w:val="000000"/>
          <w:sz w:val="22"/>
          <w:szCs w:val="22"/>
          <w:lang w:eastAsia="en-US"/>
        </w:rPr>
      </w:pPr>
    </w:p>
    <w:p w14:paraId="10C180E6">
      <w:pPr>
        <w:pStyle w:val="106"/>
        <w:numPr>
          <w:ilvl w:val="0"/>
          <w:numId w:val="58"/>
        </w:numPr>
        <w:rPr>
          <w:rFonts w:ascii="Century Gothic" w:hAnsi="Century Gothic" w:cs="Arial"/>
          <w:szCs w:val="22"/>
          <w:lang w:val="es-CO"/>
        </w:rPr>
      </w:pPr>
      <w:r>
        <w:rPr>
          <w:rFonts w:ascii="Century Gothic" w:hAnsi="Century Gothic" w:cs="Arial"/>
          <w:szCs w:val="22"/>
          <w:lang w:val="es-CO"/>
        </w:rPr>
        <w:t>Datos proporcionados por el asociado, que sean insuficientes, falsos, sospechosos, o que no puedan ser confirmados en ningún espacio de tiempo.</w:t>
      </w:r>
    </w:p>
    <w:p w14:paraId="6A7AA329">
      <w:pPr>
        <w:rPr>
          <w:rFonts w:ascii="Century Gothic" w:hAnsi="Century Gothic" w:cs="ITC Franklin Gothic Std Book" w:eastAsiaTheme="minorHAnsi"/>
          <w:color w:val="000000"/>
          <w:sz w:val="22"/>
          <w:szCs w:val="22"/>
          <w:lang w:eastAsia="en-US"/>
        </w:rPr>
      </w:pPr>
    </w:p>
    <w:p w14:paraId="7DD25127">
      <w:pPr>
        <w:pStyle w:val="65"/>
        <w:numPr>
          <w:ilvl w:val="0"/>
          <w:numId w:val="58"/>
        </w:numPr>
        <w:rPr>
          <w:rFonts w:ascii="Century Gothic" w:hAnsi="Century Gothic" w:cs="ITC Franklin Gothic Std Book" w:eastAsiaTheme="minorHAnsi"/>
          <w:color w:val="000000"/>
          <w:sz w:val="22"/>
          <w:szCs w:val="22"/>
          <w:lang w:eastAsia="en-US"/>
        </w:rPr>
      </w:pPr>
      <w:r>
        <w:rPr>
          <w:rFonts w:ascii="Century Gothic" w:hAnsi="Century Gothic"/>
          <w:sz w:val="22"/>
          <w:szCs w:val="22"/>
          <w:lang w:eastAsia="es-CO"/>
        </w:rPr>
        <w:t>El asociado/cliente no diligencia adecuadamente y en su totalidad el formulario de Vinculación/o actualización.</w:t>
      </w:r>
    </w:p>
    <w:p w14:paraId="08804FA4">
      <w:pPr>
        <w:pStyle w:val="65"/>
        <w:rPr>
          <w:rFonts w:ascii="Century Gothic" w:hAnsi="Century Gothic" w:cs="ITC Franklin Gothic Std Book" w:eastAsiaTheme="minorHAnsi"/>
          <w:color w:val="000000"/>
          <w:sz w:val="22"/>
          <w:szCs w:val="22"/>
          <w:lang w:eastAsia="en-US"/>
        </w:rPr>
      </w:pPr>
    </w:p>
    <w:p w14:paraId="3D7BED77">
      <w:pPr>
        <w:pStyle w:val="65"/>
        <w:numPr>
          <w:ilvl w:val="0"/>
          <w:numId w:val="58"/>
        </w:numPr>
        <w:rPr>
          <w:rFonts w:ascii="Century Gothic" w:hAnsi="Century Gothic" w:cs="ITC Franklin Gothic Std Book" w:eastAsiaTheme="minorHAnsi"/>
          <w:color w:val="000000"/>
          <w:sz w:val="22"/>
          <w:szCs w:val="22"/>
          <w:lang w:eastAsia="en-US"/>
        </w:rPr>
      </w:pPr>
      <w:r>
        <w:rPr>
          <w:rFonts w:ascii="Century Gothic" w:hAnsi="Century Gothic"/>
          <w:sz w:val="22"/>
          <w:szCs w:val="22"/>
          <w:lang w:eastAsia="es-CO"/>
        </w:rPr>
        <w:t>El asociado/cliente cuenta con un reporte positivo en la consulta efectuada en las listas restrictivas.</w:t>
      </w:r>
    </w:p>
    <w:p w14:paraId="5651D27C">
      <w:pPr>
        <w:rPr>
          <w:rFonts w:ascii="Century Gothic" w:hAnsi="Century Gothic" w:cs="ITC Franklin Gothic Std Book" w:eastAsiaTheme="minorHAnsi"/>
          <w:color w:val="000000"/>
          <w:sz w:val="22"/>
          <w:szCs w:val="22"/>
          <w:lang w:eastAsia="en-US"/>
        </w:rPr>
      </w:pPr>
    </w:p>
    <w:p w14:paraId="1C04BA3D">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 El asociado/cliente solicita ser excluido del registro de operaciones, sin causa aparente o justificada.</w:t>
      </w:r>
    </w:p>
    <w:p w14:paraId="7C696BCE">
      <w:pPr>
        <w:pStyle w:val="65"/>
        <w:autoSpaceDE w:val="0"/>
        <w:autoSpaceDN w:val="0"/>
        <w:adjustRightInd w:val="0"/>
        <w:ind w:left="360"/>
        <w:jc w:val="left"/>
        <w:rPr>
          <w:rFonts w:ascii="Century Gothic" w:hAnsi="Century Gothic" w:cs="Calibri" w:eastAsiaTheme="minorHAnsi"/>
          <w:color w:val="000000"/>
          <w:sz w:val="22"/>
          <w:szCs w:val="22"/>
          <w:lang w:eastAsia="en-US"/>
        </w:rPr>
      </w:pPr>
    </w:p>
    <w:p w14:paraId="7359C022">
      <w:pPr>
        <w:pStyle w:val="65"/>
        <w:numPr>
          <w:ilvl w:val="0"/>
          <w:numId w:val="57"/>
        </w:numPr>
        <w:autoSpaceDE w:val="0"/>
        <w:autoSpaceDN w:val="0"/>
        <w:adjustRightInd w:val="0"/>
        <w:spacing w:after="37"/>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El asociado/cliente con mucha frecuencia cambia sus datos, tales como dirección, teléfono, ocupación, sin justificación aparente</w:t>
      </w:r>
    </w:p>
    <w:p w14:paraId="552CD3C2">
      <w:pPr>
        <w:autoSpaceDE w:val="0"/>
        <w:autoSpaceDN w:val="0"/>
        <w:adjustRightInd w:val="0"/>
        <w:spacing w:after="37"/>
        <w:jc w:val="left"/>
        <w:rPr>
          <w:rFonts w:ascii="Century Gothic" w:hAnsi="Century Gothic" w:cs="Calibri" w:eastAsiaTheme="minorHAnsi"/>
          <w:color w:val="000000"/>
          <w:sz w:val="22"/>
          <w:szCs w:val="22"/>
          <w:lang w:val="es-ES" w:eastAsia="en-US"/>
        </w:rPr>
      </w:pPr>
    </w:p>
    <w:p w14:paraId="33C4999C">
      <w:pPr>
        <w:pStyle w:val="65"/>
        <w:numPr>
          <w:ilvl w:val="0"/>
          <w:numId w:val="57"/>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El asociado/cliente mantiene relación permanente con personas vinculadas con actividades ilícitas. </w:t>
      </w:r>
    </w:p>
    <w:p w14:paraId="1845D13D">
      <w:pPr>
        <w:pStyle w:val="65"/>
        <w:rPr>
          <w:rFonts w:ascii="Century Gothic" w:hAnsi="Century Gothic" w:cs="ITC Franklin Gothic Std Book" w:eastAsiaTheme="minorHAnsi"/>
          <w:color w:val="000000"/>
          <w:sz w:val="22"/>
          <w:szCs w:val="22"/>
          <w:lang w:eastAsia="en-US"/>
        </w:rPr>
      </w:pPr>
    </w:p>
    <w:p w14:paraId="38E8B537">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El asociado/cliente se rehúsa a llenar los formularios requeridos por la empresa o a proporcionar la información necesaria para completarlos o a realizar la operación una vez que se le solicita llenarlos formularios.</w:t>
      </w:r>
    </w:p>
    <w:p w14:paraId="527CD5D2">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El asociado/cliente insiste en encontrarse con el personal de la empresa en un lugar distinto al de las oficinas para realizar una operación.</w:t>
      </w:r>
    </w:p>
    <w:p w14:paraId="1A23C723">
      <w:pPr>
        <w:pStyle w:val="65"/>
        <w:rPr>
          <w:rFonts w:ascii="Century Gothic" w:hAnsi="Century Gothic" w:cs="ITC Franklin Gothic Std Book" w:eastAsiaTheme="minorHAnsi"/>
          <w:color w:val="000000"/>
          <w:sz w:val="22"/>
          <w:szCs w:val="22"/>
          <w:lang w:eastAsia="en-US"/>
        </w:rPr>
      </w:pPr>
    </w:p>
    <w:p w14:paraId="699B4821">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 El asociado/cliente trata de presionar a un trabajador para no llenar los formularios requeridos por la empresa.</w:t>
      </w:r>
    </w:p>
    <w:p w14:paraId="052AFF98">
      <w:pPr>
        <w:pStyle w:val="65"/>
        <w:rPr>
          <w:rFonts w:ascii="Century Gothic" w:hAnsi="Century Gothic" w:cs="ITC Franklin Gothic Std Book" w:eastAsiaTheme="minorHAnsi"/>
          <w:color w:val="000000"/>
          <w:sz w:val="22"/>
          <w:szCs w:val="22"/>
          <w:lang w:eastAsia="en-US"/>
        </w:rPr>
      </w:pPr>
    </w:p>
    <w:p w14:paraId="5D9C2962">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El asociado/cliente cancela de manera inmediata  los pasivos que tiene con la entidad, sin justificación razonable de la fuente de ingresos.</w:t>
      </w:r>
    </w:p>
    <w:p w14:paraId="4AEC7329">
      <w:pPr>
        <w:pStyle w:val="65"/>
        <w:rPr>
          <w:rFonts w:ascii="Century Gothic" w:hAnsi="Century Gothic" w:cs="ITC Franklin Gothic Std Book" w:eastAsiaTheme="minorHAnsi"/>
          <w:color w:val="000000"/>
          <w:sz w:val="22"/>
          <w:szCs w:val="22"/>
          <w:lang w:eastAsia="en-US"/>
        </w:rPr>
      </w:pPr>
    </w:p>
    <w:p w14:paraId="6C0ACE93">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Que se tome conocimiento por los medios de difusión públicos u otros, según sea el caso, que un cliente está siendo investigado o procesado por el delito de lavado de activos, delitos precedentes, el delito de financiamiento del terrorismo y/o delitos conexos.</w:t>
      </w:r>
    </w:p>
    <w:p w14:paraId="75A3BFB5">
      <w:pPr>
        <w:pStyle w:val="65"/>
        <w:rPr>
          <w:rFonts w:ascii="Century Gothic" w:hAnsi="Century Gothic" w:cs="ITC Franklin Gothic Std Book" w:eastAsiaTheme="minorHAnsi"/>
          <w:color w:val="000000"/>
          <w:sz w:val="22"/>
          <w:szCs w:val="22"/>
          <w:lang w:eastAsia="en-US"/>
        </w:rPr>
      </w:pPr>
    </w:p>
    <w:p w14:paraId="25FE6895">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 El asociado/cliente realiza constantemente operaciones y de manera permanente utiliza o pretende utilizar dinero en efectivo como único medio de pago en lugar de otros.</w:t>
      </w:r>
    </w:p>
    <w:p w14:paraId="2BFEF046">
      <w:pPr>
        <w:pStyle w:val="65"/>
        <w:rPr>
          <w:rFonts w:ascii="Century Gothic" w:hAnsi="Century Gothic" w:cs="ITC Franklin Gothic Std Book" w:eastAsiaTheme="minorHAnsi"/>
          <w:color w:val="000000"/>
          <w:sz w:val="22"/>
          <w:szCs w:val="22"/>
          <w:lang w:eastAsia="en-US"/>
        </w:rPr>
      </w:pPr>
    </w:p>
    <w:p w14:paraId="6E548698">
      <w:pPr>
        <w:pStyle w:val="65"/>
        <w:numPr>
          <w:ilvl w:val="0"/>
          <w:numId w:val="57"/>
        </w:numPr>
        <w:autoSpaceDE w:val="0"/>
        <w:autoSpaceDN w:val="0"/>
        <w:adjustRightInd w:val="0"/>
        <w:spacing w:after="34"/>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Los asociados/clientes  que no tienen relación entre si y presenten el mismo número telefónico y la misma dirección. </w:t>
      </w:r>
    </w:p>
    <w:p w14:paraId="3BBC54E7">
      <w:pPr>
        <w:autoSpaceDE w:val="0"/>
        <w:autoSpaceDN w:val="0"/>
        <w:adjustRightInd w:val="0"/>
        <w:spacing w:after="34"/>
        <w:rPr>
          <w:rFonts w:ascii="Century Gothic" w:hAnsi="Century Gothic" w:cs="Calibri" w:eastAsiaTheme="minorHAnsi"/>
          <w:color w:val="000000"/>
          <w:sz w:val="22"/>
          <w:szCs w:val="22"/>
          <w:lang w:eastAsia="en-US"/>
        </w:rPr>
      </w:pPr>
    </w:p>
    <w:p w14:paraId="4311FA1C">
      <w:pPr>
        <w:pStyle w:val="65"/>
        <w:numPr>
          <w:ilvl w:val="0"/>
          <w:numId w:val="57"/>
        </w:numPr>
        <w:autoSpaceDE w:val="0"/>
        <w:autoSpaceDN w:val="0"/>
        <w:adjustRightInd w:val="0"/>
        <w:spacing w:after="34"/>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Los asociados/clientes  se muestran nerviosos al preguntársele la información requerida y dudan en las respuestas o traen por escrito la información solicitada. </w:t>
      </w:r>
    </w:p>
    <w:p w14:paraId="23B4D5FF">
      <w:pPr>
        <w:pStyle w:val="65"/>
        <w:autoSpaceDE w:val="0"/>
        <w:autoSpaceDN w:val="0"/>
        <w:adjustRightInd w:val="0"/>
        <w:spacing w:after="34"/>
        <w:ind w:left="360"/>
        <w:rPr>
          <w:rFonts w:ascii="Century Gothic" w:hAnsi="Century Gothic" w:cs="Calibri" w:eastAsiaTheme="minorHAnsi"/>
          <w:color w:val="000000"/>
          <w:sz w:val="22"/>
          <w:szCs w:val="22"/>
          <w:lang w:eastAsia="en-US"/>
        </w:rPr>
      </w:pPr>
    </w:p>
    <w:p w14:paraId="6B825899">
      <w:pPr>
        <w:pStyle w:val="65"/>
        <w:numPr>
          <w:ilvl w:val="0"/>
          <w:numId w:val="57"/>
        </w:numPr>
        <w:autoSpaceDE w:val="0"/>
        <w:autoSpaceDN w:val="0"/>
        <w:adjustRightInd w:val="0"/>
        <w:spacing w:after="34"/>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Los asociados/clientes  manifiestan tener una actividad económica que no se pueden verificar o que no corresponden con las operaciones que realizan. </w:t>
      </w:r>
    </w:p>
    <w:p w14:paraId="028DD1EF">
      <w:pPr>
        <w:autoSpaceDE w:val="0"/>
        <w:autoSpaceDN w:val="0"/>
        <w:adjustRightInd w:val="0"/>
        <w:spacing w:after="34"/>
        <w:rPr>
          <w:rFonts w:ascii="Century Gothic" w:hAnsi="Century Gothic" w:cs="Calibri" w:eastAsiaTheme="minorHAnsi"/>
          <w:color w:val="000000"/>
          <w:sz w:val="22"/>
          <w:szCs w:val="22"/>
          <w:lang w:eastAsia="en-US"/>
        </w:rPr>
      </w:pPr>
    </w:p>
    <w:p w14:paraId="50FC7F68">
      <w:pPr>
        <w:pStyle w:val="65"/>
        <w:numPr>
          <w:ilvl w:val="0"/>
          <w:numId w:val="57"/>
        </w:numPr>
        <w:autoSpaceDE w:val="0"/>
        <w:autoSpaceDN w:val="0"/>
        <w:adjustRightInd w:val="0"/>
        <w:spacing w:after="34"/>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Los asociados/clientes  tiene la calidad de Persona Expuesta Públicamente (PEP) y por tratarse de este tipo de personas,  tratan de evitar el diligenciamiento de los controles establecidos por la Entidad.</w:t>
      </w:r>
    </w:p>
    <w:p w14:paraId="01B0A595">
      <w:pPr>
        <w:autoSpaceDE w:val="0"/>
        <w:autoSpaceDN w:val="0"/>
        <w:adjustRightInd w:val="0"/>
        <w:rPr>
          <w:lang w:val="es-ES"/>
        </w:rPr>
      </w:pPr>
    </w:p>
    <w:p w14:paraId="70CCEEB6">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b/>
          <w:bCs/>
          <w:color w:val="000000"/>
          <w:sz w:val="22"/>
          <w:szCs w:val="22"/>
          <w:lang w:eastAsia="en-US"/>
        </w:rPr>
        <w:t>Operaciones o conductas inusuales relativas a los empleados de la Entidad</w:t>
      </w:r>
    </w:p>
    <w:p w14:paraId="00EEB50F">
      <w:pPr>
        <w:pStyle w:val="65"/>
        <w:autoSpaceDE w:val="0"/>
        <w:autoSpaceDN w:val="0"/>
        <w:adjustRightInd w:val="0"/>
        <w:ind w:left="720"/>
        <w:rPr>
          <w:rFonts w:ascii="Century Gothic" w:hAnsi="Century Gothic" w:cs="Arial" w:eastAsiaTheme="minorHAnsi"/>
          <w:color w:val="000000"/>
          <w:sz w:val="22"/>
          <w:szCs w:val="22"/>
          <w:lang w:eastAsia="en-US"/>
        </w:rPr>
      </w:pPr>
    </w:p>
    <w:p w14:paraId="60A4AB15">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El estilo de vida del trabajador no corresponde a sus ingresos o existe un cambio notable e inesperado en su situación económica. </w:t>
      </w:r>
    </w:p>
    <w:p w14:paraId="28442C08">
      <w:pPr>
        <w:pStyle w:val="65"/>
        <w:autoSpaceDE w:val="0"/>
        <w:autoSpaceDN w:val="0"/>
        <w:adjustRightInd w:val="0"/>
        <w:spacing w:after="17"/>
        <w:ind w:left="360"/>
        <w:rPr>
          <w:rFonts w:ascii="Century Gothic" w:hAnsi="Century Gothic" w:cs="Arial" w:eastAsiaTheme="minorHAnsi"/>
          <w:color w:val="000000"/>
          <w:sz w:val="22"/>
          <w:szCs w:val="22"/>
          <w:lang w:eastAsia="en-US"/>
        </w:rPr>
      </w:pPr>
    </w:p>
    <w:p w14:paraId="5A5A0752">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El trabajador constantemente evita o se niega a tomar vacaciones. </w:t>
      </w:r>
    </w:p>
    <w:p w14:paraId="4AD7BB84">
      <w:pPr>
        <w:pStyle w:val="65"/>
        <w:rPr>
          <w:rFonts w:ascii="Century Gothic" w:hAnsi="Century Gothic" w:cs="Arial" w:eastAsiaTheme="minorHAnsi"/>
          <w:color w:val="000000"/>
          <w:sz w:val="22"/>
          <w:szCs w:val="22"/>
          <w:lang w:eastAsia="en-US"/>
        </w:rPr>
      </w:pPr>
    </w:p>
    <w:p w14:paraId="514191EA">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El trabajador presenta ausencias frecuentes e injustificadas. </w:t>
      </w:r>
    </w:p>
    <w:p w14:paraId="5B87AB7A">
      <w:pPr>
        <w:pStyle w:val="65"/>
        <w:rPr>
          <w:rFonts w:ascii="Century Gothic" w:hAnsi="Century Gothic" w:cs="Arial" w:eastAsiaTheme="minorHAnsi"/>
          <w:color w:val="000000"/>
          <w:sz w:val="22"/>
          <w:szCs w:val="22"/>
          <w:lang w:eastAsia="en-US"/>
        </w:rPr>
      </w:pPr>
    </w:p>
    <w:p w14:paraId="7ECA4F9E">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El trabajador con frecuencia permanece en la oficina fuera del horario laboral, sin causa justificada.</w:t>
      </w:r>
    </w:p>
    <w:p w14:paraId="325D5A9C">
      <w:pPr>
        <w:pStyle w:val="65"/>
        <w:rPr>
          <w:rFonts w:ascii="Century Gothic" w:hAnsi="Century Gothic" w:cs="Arial" w:eastAsiaTheme="minorHAnsi"/>
          <w:color w:val="000000"/>
          <w:sz w:val="22"/>
          <w:szCs w:val="22"/>
          <w:lang w:eastAsia="en-US"/>
        </w:rPr>
      </w:pPr>
    </w:p>
    <w:p w14:paraId="4269D00A">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 El trabajador utiliza su propio domicilio para recibir documentación de los clientes. </w:t>
      </w:r>
    </w:p>
    <w:p w14:paraId="705EE067">
      <w:pPr>
        <w:pStyle w:val="65"/>
        <w:rPr>
          <w:rFonts w:ascii="Century Gothic" w:hAnsi="Century Gothic" w:cs="Arial" w:eastAsiaTheme="minorHAnsi"/>
          <w:color w:val="000000"/>
          <w:sz w:val="22"/>
          <w:szCs w:val="22"/>
          <w:lang w:eastAsia="en-US"/>
        </w:rPr>
      </w:pPr>
    </w:p>
    <w:p w14:paraId="02D3C848">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Cualquier negocio realizado por el trabajador donde la identidad del beneficiario sea desconocida, contrariamente al procedimiento normal para el tipo de operación de que se trata. </w:t>
      </w:r>
    </w:p>
    <w:p w14:paraId="11B72530">
      <w:pPr>
        <w:pStyle w:val="65"/>
        <w:rPr>
          <w:rFonts w:ascii="Century Gothic" w:hAnsi="Century Gothic" w:cs="Arial" w:eastAsiaTheme="minorHAnsi"/>
          <w:color w:val="000000"/>
          <w:sz w:val="22"/>
          <w:szCs w:val="22"/>
          <w:lang w:eastAsia="en-US"/>
        </w:rPr>
      </w:pPr>
    </w:p>
    <w:p w14:paraId="3A1A4A4D">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El trabajador tiene o insiste en tener reuniones con clientes de la empresa en un lugar distinto al de las oficinas de la empresa o fuera del horario de laboral, sin justificación alguna, para realizar una operación comercial o financiera. </w:t>
      </w:r>
    </w:p>
    <w:p w14:paraId="1DA14EBB">
      <w:pPr>
        <w:pStyle w:val="65"/>
        <w:rPr>
          <w:rFonts w:ascii="Century Gothic" w:hAnsi="Century Gothic" w:cs="Arial" w:eastAsiaTheme="minorHAnsi"/>
          <w:color w:val="000000"/>
          <w:sz w:val="22"/>
          <w:szCs w:val="22"/>
          <w:lang w:eastAsia="en-US"/>
        </w:rPr>
      </w:pPr>
    </w:p>
    <w:p w14:paraId="50561ED8">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Se presenta un crecimiento inusual o repentino del número de operaciones que se encuentran a cargo del trabajador. </w:t>
      </w:r>
    </w:p>
    <w:p w14:paraId="12EA262E">
      <w:pPr>
        <w:pStyle w:val="65"/>
        <w:rPr>
          <w:rFonts w:ascii="Century Gothic" w:hAnsi="Century Gothic" w:cs="Arial" w:eastAsiaTheme="minorHAnsi"/>
          <w:color w:val="000000"/>
          <w:sz w:val="22"/>
          <w:szCs w:val="22"/>
          <w:lang w:eastAsia="en-US"/>
        </w:rPr>
      </w:pPr>
    </w:p>
    <w:p w14:paraId="3BC760CB">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Cambio notable o inesperado en los negocios de índole comercial de propiedad del trabajador. </w:t>
      </w:r>
    </w:p>
    <w:p w14:paraId="6AD91A6B">
      <w:pPr>
        <w:pStyle w:val="65"/>
        <w:rPr>
          <w:rFonts w:ascii="Century Gothic" w:hAnsi="Century Gothic" w:cs="Arial" w:eastAsiaTheme="minorHAnsi"/>
          <w:color w:val="000000"/>
          <w:sz w:val="22"/>
          <w:szCs w:val="22"/>
          <w:lang w:eastAsia="en-US"/>
        </w:rPr>
      </w:pPr>
    </w:p>
    <w:p w14:paraId="25D7706F">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Se comprueba que el trabajador no ha comunicado o ha ocultado al oficial de cumplimiento información relativa al cambio en el comportamiento de algún cliente.</w:t>
      </w:r>
    </w:p>
    <w:p w14:paraId="55012C03">
      <w:pPr>
        <w:pStyle w:val="65"/>
        <w:rPr>
          <w:rFonts w:ascii="Century Gothic" w:hAnsi="Century Gothic" w:cs="Arial" w:eastAsiaTheme="minorHAnsi"/>
          <w:color w:val="000000"/>
          <w:sz w:val="22"/>
          <w:szCs w:val="22"/>
          <w:lang w:eastAsia="en-US"/>
        </w:rPr>
      </w:pPr>
    </w:p>
    <w:p w14:paraId="29025931">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ITC Franklin Gothic Std Book"/>
          <w:color w:val="000000"/>
          <w:sz w:val="22"/>
          <w:szCs w:val="22"/>
        </w:rPr>
        <w:t>El trabajador se niega a proporcionar la información solicitada por la Entidad.</w:t>
      </w:r>
    </w:p>
    <w:p w14:paraId="5A246811">
      <w:pPr>
        <w:pStyle w:val="65"/>
        <w:rPr>
          <w:rFonts w:ascii="Century Gothic" w:hAnsi="Century Gothic" w:cs="Arial" w:eastAsiaTheme="minorHAnsi"/>
          <w:color w:val="000000"/>
          <w:sz w:val="22"/>
          <w:szCs w:val="22"/>
          <w:lang w:eastAsia="en-US"/>
        </w:rPr>
      </w:pPr>
    </w:p>
    <w:p w14:paraId="41B94804">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cs="Arial"/>
          <w:sz w:val="22"/>
          <w:szCs w:val="22"/>
          <w:lang w:val="es-CO"/>
        </w:rPr>
        <w:t>Datos proporcionados por el trabajador en el formulario de vinculación y/o actualización, que sean insuficientes, falsos, sospechosos, o que no puedan ser confirmados en ningún espacio de tiempo.</w:t>
      </w:r>
    </w:p>
    <w:p w14:paraId="7C0C943F">
      <w:pPr>
        <w:pStyle w:val="65"/>
        <w:rPr>
          <w:rFonts w:ascii="Century Gothic" w:hAnsi="Century Gothic" w:cs="Arial" w:eastAsiaTheme="minorHAnsi"/>
          <w:color w:val="000000"/>
          <w:sz w:val="22"/>
          <w:szCs w:val="22"/>
          <w:lang w:eastAsia="en-US"/>
        </w:rPr>
      </w:pPr>
    </w:p>
    <w:p w14:paraId="09A02A14">
      <w:pPr>
        <w:pStyle w:val="65"/>
        <w:numPr>
          <w:ilvl w:val="0"/>
          <w:numId w:val="59"/>
        </w:numPr>
        <w:autoSpaceDE w:val="0"/>
        <w:autoSpaceDN w:val="0"/>
        <w:adjustRightInd w:val="0"/>
        <w:spacing w:after="17"/>
        <w:rPr>
          <w:rFonts w:ascii="Century Gothic" w:hAnsi="Century Gothic" w:cs="Arial" w:eastAsiaTheme="minorHAnsi"/>
          <w:color w:val="000000"/>
          <w:sz w:val="22"/>
          <w:szCs w:val="22"/>
          <w:lang w:eastAsia="en-US"/>
        </w:rPr>
      </w:pPr>
      <w:r>
        <w:rPr>
          <w:rFonts w:ascii="Century Gothic" w:hAnsi="Century Gothic"/>
          <w:sz w:val="22"/>
          <w:szCs w:val="22"/>
          <w:lang w:eastAsia="es-CO"/>
        </w:rPr>
        <w:t>El trabajador diligencia no adecuadamente y en su totalidad el formulario de Vinculación/o actualización.</w:t>
      </w:r>
    </w:p>
    <w:p w14:paraId="607AF809">
      <w:pPr>
        <w:pStyle w:val="65"/>
        <w:rPr>
          <w:rFonts w:ascii="Century Gothic" w:hAnsi="Century Gothic" w:cs="Arial" w:eastAsiaTheme="minorHAnsi"/>
          <w:color w:val="000000"/>
          <w:sz w:val="22"/>
          <w:szCs w:val="22"/>
          <w:lang w:eastAsia="en-US"/>
        </w:rPr>
      </w:pPr>
    </w:p>
    <w:p w14:paraId="688A6901">
      <w:pPr>
        <w:pStyle w:val="65"/>
        <w:numPr>
          <w:ilvl w:val="0"/>
          <w:numId w:val="58"/>
        </w:numPr>
        <w:rPr>
          <w:rFonts w:ascii="Century Gothic" w:hAnsi="Century Gothic" w:cs="ITC Franklin Gothic Std Book" w:eastAsiaTheme="minorHAnsi"/>
          <w:color w:val="000000"/>
          <w:sz w:val="22"/>
          <w:szCs w:val="22"/>
          <w:lang w:eastAsia="en-US"/>
        </w:rPr>
      </w:pPr>
      <w:r>
        <w:rPr>
          <w:rFonts w:ascii="Century Gothic" w:hAnsi="Century Gothic"/>
          <w:sz w:val="22"/>
          <w:szCs w:val="22"/>
          <w:lang w:eastAsia="es-CO"/>
        </w:rPr>
        <w:t>El trabajador  cuenta con un reporte positivo en la consulta efectuada en las listas restrictivas.</w:t>
      </w:r>
    </w:p>
    <w:p w14:paraId="20EB2F3F">
      <w:pPr>
        <w:pStyle w:val="65"/>
        <w:autoSpaceDE w:val="0"/>
        <w:autoSpaceDN w:val="0"/>
        <w:adjustRightInd w:val="0"/>
        <w:spacing w:after="17"/>
        <w:ind w:left="360"/>
        <w:rPr>
          <w:rFonts w:ascii="Century Gothic" w:hAnsi="Century Gothic" w:cs="Arial" w:eastAsiaTheme="minorHAnsi"/>
          <w:color w:val="000000"/>
          <w:sz w:val="22"/>
          <w:szCs w:val="22"/>
          <w:lang w:eastAsia="en-US"/>
        </w:rPr>
      </w:pPr>
    </w:p>
    <w:p w14:paraId="79803C3B">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b/>
          <w:bCs/>
          <w:color w:val="000000"/>
          <w:sz w:val="22"/>
          <w:szCs w:val="22"/>
          <w:lang w:eastAsia="en-US"/>
        </w:rPr>
        <w:t>Operaciones o conductas inusuales relativas a los relacionados contractuales (RC).</w:t>
      </w:r>
    </w:p>
    <w:p w14:paraId="4793940D">
      <w:pPr>
        <w:autoSpaceDE w:val="0"/>
        <w:autoSpaceDN w:val="0"/>
        <w:adjustRightInd w:val="0"/>
        <w:spacing w:after="17"/>
        <w:rPr>
          <w:rFonts w:ascii="Century Gothic" w:hAnsi="Century Gothic" w:cs="Arial" w:eastAsiaTheme="minorHAnsi"/>
          <w:color w:val="000000"/>
          <w:sz w:val="22"/>
          <w:szCs w:val="22"/>
          <w:lang w:val="es-ES" w:eastAsia="en-US"/>
        </w:rPr>
      </w:pPr>
    </w:p>
    <w:p w14:paraId="03A390DE">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sz w:val="22"/>
          <w:szCs w:val="22"/>
          <w:lang w:eastAsia="es-CO"/>
        </w:rPr>
        <w:t xml:space="preserve">El relacionado contractual, </w:t>
      </w:r>
      <w:r>
        <w:rPr>
          <w:rFonts w:ascii="Century Gothic" w:hAnsi="Century Gothic" w:cs="ITC Franklin Gothic Std Book" w:eastAsiaTheme="minorHAnsi"/>
          <w:color w:val="000000"/>
          <w:sz w:val="22"/>
          <w:szCs w:val="22"/>
          <w:lang w:eastAsia="en-US"/>
        </w:rPr>
        <w:t>se niega a proporcionar la información solicitada por la Entidad.</w:t>
      </w:r>
    </w:p>
    <w:p w14:paraId="34F93578">
      <w:pPr>
        <w:pStyle w:val="65"/>
        <w:autoSpaceDE w:val="0"/>
        <w:autoSpaceDN w:val="0"/>
        <w:adjustRightInd w:val="0"/>
        <w:ind w:left="360"/>
        <w:rPr>
          <w:rFonts w:ascii="Century Gothic" w:hAnsi="Century Gothic" w:cs="ITC Franklin Gothic Std Book" w:eastAsiaTheme="minorHAnsi"/>
          <w:color w:val="000000"/>
          <w:sz w:val="22"/>
          <w:szCs w:val="22"/>
          <w:lang w:eastAsia="en-US"/>
        </w:rPr>
      </w:pPr>
    </w:p>
    <w:p w14:paraId="5785057F">
      <w:pPr>
        <w:pStyle w:val="106"/>
        <w:numPr>
          <w:ilvl w:val="0"/>
          <w:numId w:val="58"/>
        </w:numPr>
        <w:rPr>
          <w:rFonts w:ascii="Century Gothic" w:hAnsi="Century Gothic" w:cs="Arial"/>
          <w:szCs w:val="22"/>
          <w:lang w:val="es-CO"/>
        </w:rPr>
      </w:pPr>
      <w:r>
        <w:rPr>
          <w:rFonts w:ascii="Century Gothic" w:hAnsi="Century Gothic" w:cs="Arial"/>
          <w:szCs w:val="22"/>
          <w:lang w:val="es-CO"/>
        </w:rPr>
        <w:t>Datos proporcionados por el</w:t>
      </w:r>
      <w:r>
        <w:rPr>
          <w:rFonts w:ascii="Century Gothic" w:hAnsi="Century Gothic"/>
          <w:szCs w:val="22"/>
          <w:lang w:val="es-CO"/>
        </w:rPr>
        <w:t xml:space="preserve"> relacionado contractual,</w:t>
      </w:r>
      <w:r>
        <w:rPr>
          <w:rFonts w:ascii="Century Gothic" w:hAnsi="Century Gothic" w:cs="Arial"/>
          <w:szCs w:val="22"/>
          <w:lang w:val="es-CO"/>
        </w:rPr>
        <w:t xml:space="preserve"> que sean insuficientes, falsos, sospechosos, o que no puedan ser confirmados en ningún espacio de tiempo.</w:t>
      </w:r>
    </w:p>
    <w:p w14:paraId="2530CF3A">
      <w:pPr>
        <w:rPr>
          <w:rFonts w:ascii="Century Gothic" w:hAnsi="Century Gothic" w:cs="ITC Franklin Gothic Std Book" w:eastAsiaTheme="minorHAnsi"/>
          <w:color w:val="000000"/>
          <w:sz w:val="22"/>
          <w:szCs w:val="22"/>
          <w:lang w:eastAsia="en-US"/>
        </w:rPr>
      </w:pPr>
    </w:p>
    <w:p w14:paraId="5C8AA1BC">
      <w:pPr>
        <w:pStyle w:val="65"/>
        <w:numPr>
          <w:ilvl w:val="0"/>
          <w:numId w:val="58"/>
        </w:numPr>
        <w:rPr>
          <w:rFonts w:ascii="Century Gothic" w:hAnsi="Century Gothic" w:cs="ITC Franklin Gothic Std Book" w:eastAsiaTheme="minorHAnsi"/>
          <w:color w:val="000000"/>
          <w:sz w:val="22"/>
          <w:szCs w:val="22"/>
          <w:lang w:eastAsia="en-US"/>
        </w:rPr>
      </w:pPr>
      <w:r>
        <w:rPr>
          <w:rFonts w:ascii="Century Gothic" w:hAnsi="Century Gothic"/>
          <w:sz w:val="22"/>
          <w:szCs w:val="22"/>
          <w:lang w:eastAsia="es-CO"/>
        </w:rPr>
        <w:t>El relacionado contractual no diligencia adecuadamente y en su totalidad el formulario de Vinculación/o actualización.</w:t>
      </w:r>
    </w:p>
    <w:p w14:paraId="4D6B95F1">
      <w:pPr>
        <w:pStyle w:val="65"/>
        <w:rPr>
          <w:rFonts w:ascii="Century Gothic" w:hAnsi="Century Gothic" w:cs="ITC Franklin Gothic Std Book" w:eastAsiaTheme="minorHAnsi"/>
          <w:color w:val="000000"/>
          <w:sz w:val="22"/>
          <w:szCs w:val="22"/>
          <w:lang w:eastAsia="en-US"/>
        </w:rPr>
      </w:pPr>
    </w:p>
    <w:p w14:paraId="336426ED">
      <w:pPr>
        <w:pStyle w:val="65"/>
        <w:numPr>
          <w:ilvl w:val="0"/>
          <w:numId w:val="58"/>
        </w:numPr>
        <w:rPr>
          <w:rFonts w:ascii="Century Gothic" w:hAnsi="Century Gothic" w:cs="ITC Franklin Gothic Std Book" w:eastAsiaTheme="minorHAnsi"/>
          <w:color w:val="000000"/>
          <w:sz w:val="22"/>
          <w:szCs w:val="22"/>
          <w:lang w:eastAsia="en-US"/>
        </w:rPr>
      </w:pPr>
      <w:r>
        <w:rPr>
          <w:rFonts w:ascii="Century Gothic" w:hAnsi="Century Gothic"/>
          <w:sz w:val="22"/>
          <w:szCs w:val="22"/>
          <w:lang w:eastAsia="es-CO"/>
        </w:rPr>
        <w:t>El relacionado contractual cuenta con un reporte positivo en la consulta efectuada en las listas restrictivas.</w:t>
      </w:r>
    </w:p>
    <w:p w14:paraId="24362CEA">
      <w:pPr>
        <w:rPr>
          <w:rFonts w:ascii="Century Gothic" w:hAnsi="Century Gothic" w:cs="ITC Franklin Gothic Std Book" w:eastAsiaTheme="minorHAnsi"/>
          <w:color w:val="000000"/>
          <w:sz w:val="22"/>
          <w:szCs w:val="22"/>
          <w:lang w:eastAsia="en-US"/>
        </w:rPr>
      </w:pPr>
    </w:p>
    <w:p w14:paraId="4D65C62D">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 </w:t>
      </w:r>
      <w:r>
        <w:rPr>
          <w:rFonts w:ascii="Century Gothic" w:hAnsi="Century Gothic"/>
          <w:sz w:val="22"/>
          <w:szCs w:val="22"/>
          <w:lang w:eastAsia="es-CO"/>
        </w:rPr>
        <w:t>El relacionado contractual</w:t>
      </w:r>
      <w:r>
        <w:rPr>
          <w:rFonts w:ascii="Century Gothic" w:hAnsi="Century Gothic" w:cs="ITC Franklin Gothic Std Book" w:eastAsiaTheme="minorHAnsi"/>
          <w:color w:val="000000"/>
          <w:sz w:val="22"/>
          <w:szCs w:val="22"/>
          <w:lang w:eastAsia="en-US"/>
        </w:rPr>
        <w:t xml:space="preserve"> solicita ser excluido del registro de operaciones, sin causa aparente o justificada.</w:t>
      </w:r>
    </w:p>
    <w:p w14:paraId="54709CE4">
      <w:pPr>
        <w:pStyle w:val="65"/>
        <w:autoSpaceDE w:val="0"/>
        <w:autoSpaceDN w:val="0"/>
        <w:adjustRightInd w:val="0"/>
        <w:ind w:left="360"/>
        <w:jc w:val="left"/>
        <w:rPr>
          <w:rFonts w:ascii="Century Gothic" w:hAnsi="Century Gothic" w:cs="Calibri" w:eastAsiaTheme="minorHAnsi"/>
          <w:color w:val="000000"/>
          <w:sz w:val="22"/>
          <w:szCs w:val="22"/>
          <w:lang w:eastAsia="en-US"/>
        </w:rPr>
      </w:pPr>
    </w:p>
    <w:p w14:paraId="7F3FA9EC">
      <w:pPr>
        <w:pStyle w:val="65"/>
        <w:numPr>
          <w:ilvl w:val="0"/>
          <w:numId w:val="57"/>
        </w:numPr>
        <w:autoSpaceDE w:val="0"/>
        <w:autoSpaceDN w:val="0"/>
        <w:adjustRightInd w:val="0"/>
        <w:spacing w:after="37"/>
        <w:rPr>
          <w:rFonts w:ascii="Century Gothic" w:hAnsi="Century Gothic" w:cs="Calibri" w:eastAsiaTheme="minorHAnsi"/>
          <w:color w:val="000000"/>
          <w:sz w:val="22"/>
          <w:szCs w:val="22"/>
          <w:lang w:eastAsia="en-US"/>
        </w:rPr>
      </w:pPr>
      <w:r>
        <w:rPr>
          <w:rFonts w:ascii="Century Gothic" w:hAnsi="Century Gothic"/>
          <w:sz w:val="22"/>
          <w:szCs w:val="22"/>
          <w:lang w:eastAsia="es-CO"/>
        </w:rPr>
        <w:t>El relacionado contractual</w:t>
      </w:r>
      <w:r>
        <w:rPr>
          <w:rFonts w:ascii="Century Gothic" w:hAnsi="Century Gothic" w:cs="Calibri" w:eastAsiaTheme="minorHAnsi"/>
          <w:color w:val="000000"/>
          <w:sz w:val="22"/>
          <w:szCs w:val="22"/>
          <w:lang w:eastAsia="en-US"/>
        </w:rPr>
        <w:t xml:space="preserve"> con mucha frecuencia cambia sus datos, tales como dirección, teléfono, ocupación, sin justificación aparente</w:t>
      </w:r>
    </w:p>
    <w:p w14:paraId="4866AD6F">
      <w:pPr>
        <w:autoSpaceDE w:val="0"/>
        <w:autoSpaceDN w:val="0"/>
        <w:adjustRightInd w:val="0"/>
        <w:spacing w:after="37"/>
        <w:jc w:val="left"/>
        <w:rPr>
          <w:rFonts w:ascii="Century Gothic" w:hAnsi="Century Gothic" w:cs="Calibri" w:eastAsiaTheme="minorHAnsi"/>
          <w:color w:val="000000"/>
          <w:sz w:val="22"/>
          <w:szCs w:val="22"/>
          <w:lang w:val="es-ES" w:eastAsia="en-US"/>
        </w:rPr>
      </w:pPr>
    </w:p>
    <w:p w14:paraId="261847FA">
      <w:pPr>
        <w:pStyle w:val="65"/>
        <w:numPr>
          <w:ilvl w:val="0"/>
          <w:numId w:val="57"/>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sz w:val="22"/>
          <w:szCs w:val="22"/>
          <w:lang w:eastAsia="es-CO"/>
        </w:rPr>
        <w:t>El relacionado contractual</w:t>
      </w:r>
      <w:r>
        <w:rPr>
          <w:rFonts w:ascii="Century Gothic" w:hAnsi="Century Gothic" w:cs="Calibri" w:eastAsiaTheme="minorHAnsi"/>
          <w:color w:val="000000"/>
          <w:sz w:val="22"/>
          <w:szCs w:val="22"/>
          <w:lang w:eastAsia="en-US"/>
        </w:rPr>
        <w:t xml:space="preserve"> mantiene relación permanente con personas vinculadas con actividades ilícitas. </w:t>
      </w:r>
    </w:p>
    <w:p w14:paraId="0C8E14B2">
      <w:pPr>
        <w:pStyle w:val="65"/>
        <w:rPr>
          <w:rFonts w:ascii="Century Gothic" w:hAnsi="Century Gothic" w:cs="ITC Franklin Gothic Std Book" w:eastAsiaTheme="minorHAnsi"/>
          <w:color w:val="000000"/>
          <w:sz w:val="22"/>
          <w:szCs w:val="22"/>
          <w:lang w:eastAsia="en-US"/>
        </w:rPr>
      </w:pPr>
    </w:p>
    <w:p w14:paraId="41BCA018">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sz w:val="22"/>
          <w:szCs w:val="22"/>
          <w:lang w:eastAsia="es-CO"/>
        </w:rPr>
        <w:t>El relacionado contractual</w:t>
      </w:r>
      <w:r>
        <w:rPr>
          <w:rFonts w:ascii="Century Gothic" w:hAnsi="Century Gothic" w:cs="ITC Franklin Gothic Std Book" w:eastAsiaTheme="minorHAnsi"/>
          <w:color w:val="000000"/>
          <w:sz w:val="22"/>
          <w:szCs w:val="22"/>
          <w:lang w:eastAsia="en-US"/>
        </w:rPr>
        <w:t xml:space="preserve"> se rehúsa a llenar los formularios requeridos por la empresa o a proporcionar la información necesaria para completarlos o a realizar la operación una vez que se le solicita llenarlos formularios.</w:t>
      </w:r>
    </w:p>
    <w:p w14:paraId="7C5691BB">
      <w:pPr>
        <w:rPr>
          <w:rFonts w:ascii="Century Gothic" w:hAnsi="Century Gothic" w:cs="ITC Franklin Gothic Std Book" w:eastAsiaTheme="minorHAnsi"/>
          <w:color w:val="000000"/>
          <w:sz w:val="22"/>
          <w:szCs w:val="22"/>
          <w:lang w:eastAsia="en-US"/>
        </w:rPr>
      </w:pPr>
    </w:p>
    <w:p w14:paraId="2021AB0C">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sz w:val="22"/>
          <w:szCs w:val="22"/>
          <w:lang w:eastAsia="es-CO"/>
        </w:rPr>
        <w:t>El relacionado contractual</w:t>
      </w:r>
      <w:r>
        <w:rPr>
          <w:rFonts w:ascii="Century Gothic" w:hAnsi="Century Gothic" w:cs="ITC Franklin Gothic Std Book" w:eastAsiaTheme="minorHAnsi"/>
          <w:color w:val="000000"/>
          <w:sz w:val="22"/>
          <w:szCs w:val="22"/>
          <w:lang w:eastAsia="en-US"/>
        </w:rPr>
        <w:t xml:space="preserve"> insiste en encontrarse con el personal de la empresa en un lugar distinto al de las oficinas para realizar una operación.</w:t>
      </w:r>
    </w:p>
    <w:p w14:paraId="46ABA56E">
      <w:pPr>
        <w:pStyle w:val="65"/>
        <w:rPr>
          <w:rFonts w:ascii="Century Gothic" w:hAnsi="Century Gothic" w:cs="ITC Franklin Gothic Std Book" w:eastAsiaTheme="minorHAnsi"/>
          <w:color w:val="000000"/>
          <w:sz w:val="22"/>
          <w:szCs w:val="22"/>
          <w:lang w:eastAsia="en-US"/>
        </w:rPr>
      </w:pPr>
    </w:p>
    <w:p w14:paraId="41F63E09">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sz w:val="22"/>
          <w:szCs w:val="22"/>
          <w:lang w:eastAsia="es-CO"/>
        </w:rPr>
        <w:t>El relacionado contractual</w:t>
      </w:r>
      <w:r>
        <w:rPr>
          <w:rFonts w:ascii="Century Gothic" w:hAnsi="Century Gothic" w:cs="ITC Franklin Gothic Std Book" w:eastAsiaTheme="minorHAnsi"/>
          <w:color w:val="000000"/>
          <w:sz w:val="22"/>
          <w:szCs w:val="22"/>
          <w:lang w:eastAsia="en-US"/>
        </w:rPr>
        <w:t xml:space="preserve"> trata de presionar a un trabajador para no llenar los formularios requeridos por la empresa.</w:t>
      </w:r>
    </w:p>
    <w:p w14:paraId="1EB6A747">
      <w:pPr>
        <w:rPr>
          <w:rFonts w:ascii="Century Gothic" w:hAnsi="Century Gothic" w:cs="ITC Franklin Gothic Std Book" w:eastAsiaTheme="minorHAnsi"/>
          <w:color w:val="000000"/>
          <w:sz w:val="22"/>
          <w:szCs w:val="22"/>
          <w:lang w:eastAsia="en-US"/>
        </w:rPr>
      </w:pPr>
    </w:p>
    <w:p w14:paraId="603C179F">
      <w:pPr>
        <w:pStyle w:val="65"/>
        <w:numPr>
          <w:ilvl w:val="0"/>
          <w:numId w:val="57"/>
        </w:num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Que se tome conocimiento por los medios de difusión públicos u otros, según sea el caso, que un </w:t>
      </w:r>
      <w:r>
        <w:rPr>
          <w:rFonts w:ascii="Century Gothic" w:hAnsi="Century Gothic"/>
          <w:sz w:val="22"/>
          <w:szCs w:val="22"/>
          <w:lang w:eastAsia="es-CO"/>
        </w:rPr>
        <w:t>relacionado contractual</w:t>
      </w:r>
      <w:r>
        <w:rPr>
          <w:rFonts w:ascii="Century Gothic" w:hAnsi="Century Gothic" w:cs="ITC Franklin Gothic Std Book" w:eastAsiaTheme="minorHAnsi"/>
          <w:color w:val="000000"/>
          <w:sz w:val="22"/>
          <w:szCs w:val="22"/>
          <w:lang w:eastAsia="en-US"/>
        </w:rPr>
        <w:t xml:space="preserve"> está siendo investigado o procesado por el delito de lavado de activos, delitos precedentes, el delito de financiamiento del terrorismo y/o delitos conexos.</w:t>
      </w:r>
    </w:p>
    <w:p w14:paraId="7C631DE1">
      <w:pPr>
        <w:pStyle w:val="65"/>
        <w:rPr>
          <w:rFonts w:ascii="Century Gothic" w:hAnsi="Century Gothic" w:cs="ITC Franklin Gothic Std Book" w:eastAsiaTheme="minorHAnsi"/>
          <w:color w:val="000000"/>
          <w:sz w:val="22"/>
          <w:szCs w:val="22"/>
          <w:lang w:eastAsia="en-US"/>
        </w:rPr>
      </w:pPr>
    </w:p>
    <w:p w14:paraId="017E28E5">
      <w:pPr>
        <w:pStyle w:val="65"/>
        <w:numPr>
          <w:ilvl w:val="0"/>
          <w:numId w:val="57"/>
        </w:numPr>
        <w:autoSpaceDE w:val="0"/>
        <w:autoSpaceDN w:val="0"/>
        <w:adjustRightInd w:val="0"/>
        <w:spacing w:after="34"/>
        <w:rPr>
          <w:rFonts w:ascii="Century Gothic" w:hAnsi="Century Gothic" w:cs="Calibri" w:eastAsiaTheme="minorHAnsi"/>
          <w:color w:val="000000"/>
          <w:sz w:val="22"/>
          <w:szCs w:val="22"/>
          <w:lang w:eastAsia="en-US"/>
        </w:rPr>
      </w:pPr>
      <w:r>
        <w:rPr>
          <w:rFonts w:ascii="Century Gothic" w:hAnsi="Century Gothic"/>
          <w:sz w:val="22"/>
          <w:szCs w:val="22"/>
          <w:lang w:eastAsia="es-CO"/>
        </w:rPr>
        <w:t>El relacionado contractual</w:t>
      </w:r>
      <w:r>
        <w:rPr>
          <w:rFonts w:ascii="Century Gothic" w:hAnsi="Century Gothic" w:cs="Calibri" w:eastAsiaTheme="minorHAnsi"/>
          <w:color w:val="000000"/>
          <w:sz w:val="22"/>
          <w:szCs w:val="22"/>
          <w:lang w:eastAsia="en-US"/>
        </w:rPr>
        <w:t xml:space="preserve"> que no tienen relación entre si y presenten el mismo número telefónico y la misma dirección. </w:t>
      </w:r>
    </w:p>
    <w:p w14:paraId="5FF378E2">
      <w:pPr>
        <w:autoSpaceDE w:val="0"/>
        <w:autoSpaceDN w:val="0"/>
        <w:adjustRightInd w:val="0"/>
        <w:spacing w:after="34"/>
        <w:rPr>
          <w:rFonts w:ascii="Century Gothic" w:hAnsi="Century Gothic" w:cs="Calibri" w:eastAsiaTheme="minorHAnsi"/>
          <w:color w:val="000000"/>
          <w:sz w:val="22"/>
          <w:szCs w:val="22"/>
          <w:lang w:eastAsia="en-US"/>
        </w:rPr>
      </w:pPr>
    </w:p>
    <w:p w14:paraId="1A716FF0">
      <w:pPr>
        <w:pStyle w:val="65"/>
        <w:numPr>
          <w:ilvl w:val="0"/>
          <w:numId w:val="57"/>
        </w:numPr>
        <w:autoSpaceDE w:val="0"/>
        <w:autoSpaceDN w:val="0"/>
        <w:adjustRightInd w:val="0"/>
        <w:spacing w:after="34"/>
        <w:rPr>
          <w:rFonts w:ascii="Century Gothic" w:hAnsi="Century Gothic" w:cs="Calibri" w:eastAsiaTheme="minorHAnsi"/>
          <w:color w:val="000000"/>
          <w:sz w:val="22"/>
          <w:szCs w:val="22"/>
          <w:lang w:eastAsia="en-US"/>
        </w:rPr>
      </w:pPr>
      <w:r>
        <w:rPr>
          <w:rFonts w:ascii="Century Gothic" w:hAnsi="Century Gothic"/>
          <w:sz w:val="22"/>
          <w:szCs w:val="22"/>
          <w:lang w:eastAsia="es-CO"/>
        </w:rPr>
        <w:t>El relacionado contractual</w:t>
      </w:r>
      <w:r>
        <w:rPr>
          <w:rFonts w:ascii="Century Gothic" w:hAnsi="Century Gothic" w:cs="Calibri" w:eastAsiaTheme="minorHAnsi"/>
          <w:color w:val="000000"/>
          <w:sz w:val="22"/>
          <w:szCs w:val="22"/>
          <w:lang w:eastAsia="en-US"/>
        </w:rPr>
        <w:t xml:space="preserve">  se muestra nervioso al preguntársele la información requerida y duda en las respuestas o trae por escrito la información solicitada. </w:t>
      </w:r>
    </w:p>
    <w:p w14:paraId="0CE01678">
      <w:pPr>
        <w:pStyle w:val="65"/>
        <w:autoSpaceDE w:val="0"/>
        <w:autoSpaceDN w:val="0"/>
        <w:adjustRightInd w:val="0"/>
        <w:spacing w:after="34"/>
        <w:ind w:left="360"/>
        <w:rPr>
          <w:rFonts w:ascii="Century Gothic" w:hAnsi="Century Gothic" w:cs="Calibri" w:eastAsiaTheme="minorHAnsi"/>
          <w:color w:val="000000"/>
          <w:sz w:val="22"/>
          <w:szCs w:val="22"/>
          <w:lang w:eastAsia="en-US"/>
        </w:rPr>
      </w:pPr>
    </w:p>
    <w:p w14:paraId="0BCAA9A0">
      <w:pPr>
        <w:pStyle w:val="65"/>
        <w:numPr>
          <w:ilvl w:val="0"/>
          <w:numId w:val="57"/>
        </w:numPr>
        <w:autoSpaceDE w:val="0"/>
        <w:autoSpaceDN w:val="0"/>
        <w:adjustRightInd w:val="0"/>
        <w:spacing w:after="34"/>
        <w:rPr>
          <w:rFonts w:ascii="Century Gothic" w:hAnsi="Century Gothic" w:cs="Calibri" w:eastAsiaTheme="minorHAnsi"/>
          <w:color w:val="000000"/>
          <w:sz w:val="22"/>
          <w:szCs w:val="22"/>
          <w:lang w:eastAsia="en-US"/>
        </w:rPr>
      </w:pPr>
      <w:r>
        <w:rPr>
          <w:rFonts w:ascii="Century Gothic" w:hAnsi="Century Gothic"/>
          <w:sz w:val="22"/>
          <w:szCs w:val="22"/>
          <w:lang w:eastAsia="es-CO"/>
        </w:rPr>
        <w:t>El relacionado contractual</w:t>
      </w:r>
      <w:r>
        <w:rPr>
          <w:rFonts w:ascii="Century Gothic" w:hAnsi="Century Gothic" w:cs="Calibri" w:eastAsiaTheme="minorHAnsi"/>
          <w:color w:val="000000"/>
          <w:sz w:val="22"/>
          <w:szCs w:val="22"/>
          <w:lang w:eastAsia="en-US"/>
        </w:rPr>
        <w:t xml:space="preserve"> manifiesta tener una actividad económica que no se pueden verificar o que no corresponden con las operaciones que realizan. </w:t>
      </w:r>
    </w:p>
    <w:p w14:paraId="78DA2328">
      <w:pPr>
        <w:autoSpaceDE w:val="0"/>
        <w:autoSpaceDN w:val="0"/>
        <w:adjustRightInd w:val="0"/>
        <w:spacing w:after="34"/>
        <w:rPr>
          <w:rFonts w:ascii="Century Gothic" w:hAnsi="Century Gothic" w:cs="Calibri" w:eastAsiaTheme="minorHAnsi"/>
          <w:color w:val="000000"/>
          <w:sz w:val="22"/>
          <w:szCs w:val="22"/>
          <w:lang w:eastAsia="en-US"/>
        </w:rPr>
      </w:pPr>
    </w:p>
    <w:p w14:paraId="6383B309">
      <w:pPr>
        <w:pStyle w:val="65"/>
        <w:numPr>
          <w:ilvl w:val="0"/>
          <w:numId w:val="57"/>
        </w:numPr>
        <w:autoSpaceDE w:val="0"/>
        <w:autoSpaceDN w:val="0"/>
        <w:adjustRightInd w:val="0"/>
        <w:spacing w:after="34"/>
        <w:rPr>
          <w:rFonts w:ascii="Century Gothic" w:hAnsi="Century Gothic" w:cs="Calibri" w:eastAsiaTheme="minorHAnsi"/>
          <w:color w:val="000000"/>
          <w:sz w:val="22"/>
          <w:szCs w:val="22"/>
          <w:lang w:eastAsia="en-US"/>
        </w:rPr>
      </w:pPr>
      <w:r>
        <w:rPr>
          <w:rFonts w:ascii="Century Gothic" w:hAnsi="Century Gothic"/>
          <w:sz w:val="22"/>
          <w:szCs w:val="22"/>
          <w:lang w:eastAsia="es-CO"/>
        </w:rPr>
        <w:t>El relacionado contractual</w:t>
      </w:r>
      <w:r>
        <w:rPr>
          <w:rFonts w:ascii="Century Gothic" w:hAnsi="Century Gothic" w:cs="Calibri" w:eastAsiaTheme="minorHAnsi"/>
          <w:color w:val="000000"/>
          <w:sz w:val="22"/>
          <w:szCs w:val="22"/>
          <w:lang w:eastAsia="en-US"/>
        </w:rPr>
        <w:t xml:space="preserve"> tiene la calidad de Persona Expuesta Públicamente (PEP) y por tratarse de este tipo de personas,  trata de evitar el diligenciamiento de los controles establecidos por la Entidad.</w:t>
      </w:r>
    </w:p>
    <w:p w14:paraId="76CA0549">
      <w:pPr>
        <w:rPr>
          <w:rFonts w:ascii="Century Gothic" w:hAnsi="Century Gothic"/>
        </w:rPr>
      </w:pPr>
    </w:p>
    <w:p w14:paraId="3F39CADD">
      <w:pPr>
        <w:pStyle w:val="65"/>
        <w:numPr>
          <w:ilvl w:val="0"/>
          <w:numId w:val="56"/>
        </w:numPr>
        <w:rPr>
          <w:rFonts w:ascii="Century Gothic" w:hAnsi="Century Gothic"/>
          <w:b/>
          <w:sz w:val="22"/>
          <w:szCs w:val="22"/>
        </w:rPr>
      </w:pPr>
      <w:r>
        <w:rPr>
          <w:rFonts w:ascii="Century Gothic" w:hAnsi="Century Gothic"/>
          <w:b/>
          <w:sz w:val="22"/>
          <w:szCs w:val="22"/>
        </w:rPr>
        <w:t>SEGMENTACIÓN DE LOS FACTORES DE RIESGO</w:t>
      </w:r>
    </w:p>
    <w:p w14:paraId="2728582E">
      <w:pPr>
        <w:rPr>
          <w:rFonts w:ascii="Century Gothic" w:hAnsi="Century Gothic"/>
          <w:lang w:val="es-ES"/>
        </w:rPr>
      </w:pPr>
    </w:p>
    <w:p w14:paraId="4D8A330B">
      <w:pPr>
        <w:rPr>
          <w:rFonts w:ascii="Century Gothic" w:hAnsi="Century Gothic" w:cs="Arial"/>
          <w:sz w:val="22"/>
          <w:szCs w:val="22"/>
        </w:rPr>
      </w:pPr>
      <w:r>
        <w:rPr>
          <w:rFonts w:ascii="Century Gothic" w:hAnsi="Century Gothic" w:cs="Arial"/>
          <w:sz w:val="22"/>
          <w:szCs w:val="22"/>
        </w:rPr>
        <w:t>Los factores de riesgos son los agentes generadores del riesgo del LA/FT, y la Entidad tendrá en cuenta los siguientes:</w:t>
      </w:r>
    </w:p>
    <w:p w14:paraId="49D507A9">
      <w:pPr>
        <w:autoSpaceDE w:val="0"/>
        <w:autoSpaceDN w:val="0"/>
        <w:adjustRightInd w:val="0"/>
        <w:ind w:left="993"/>
        <w:rPr>
          <w:rFonts w:ascii="Century Gothic" w:hAnsi="Century Gothic" w:cs="Arial"/>
          <w:bCs/>
          <w:sz w:val="22"/>
          <w:szCs w:val="22"/>
          <w:lang w:eastAsia="es-CO"/>
        </w:rPr>
      </w:pPr>
    </w:p>
    <w:p w14:paraId="0C93AFFF">
      <w:pPr>
        <w:pStyle w:val="65"/>
        <w:numPr>
          <w:ilvl w:val="0"/>
          <w:numId w:val="60"/>
        </w:numPr>
        <w:rPr>
          <w:rFonts w:ascii="Century Gothic" w:hAnsi="Century Gothic" w:cs="Arial"/>
          <w:sz w:val="22"/>
          <w:szCs w:val="22"/>
        </w:rPr>
      </w:pPr>
      <w:r>
        <w:rPr>
          <w:rFonts w:ascii="Century Gothic" w:hAnsi="Century Gothic" w:cs="Arial"/>
          <w:sz w:val="22"/>
          <w:szCs w:val="22"/>
          <w:u w:val="single"/>
        </w:rPr>
        <w:t>Clientes/asociados/usuarios</w:t>
      </w:r>
      <w:r>
        <w:rPr>
          <w:rFonts w:ascii="Century Gothic" w:hAnsi="Century Gothic" w:cs="Arial"/>
          <w:b/>
          <w:sz w:val="22"/>
          <w:szCs w:val="22"/>
        </w:rPr>
        <w:t>:</w:t>
      </w:r>
      <w:r>
        <w:rPr>
          <w:rFonts w:ascii="Century Gothic" w:hAnsi="Century Gothic" w:cs="Arial"/>
          <w:sz w:val="22"/>
          <w:szCs w:val="22"/>
        </w:rPr>
        <w:t xml:space="preserve"> Son las personas naturales o jurídicas con la cuales la Entidad establece y mantiene una relación contractual o legal para el suministro de cualquier producto, bien o servicio propio de su actividad. </w:t>
      </w:r>
    </w:p>
    <w:p w14:paraId="18D375B3">
      <w:pPr>
        <w:rPr>
          <w:rFonts w:ascii="Century Gothic" w:hAnsi="Century Gothic" w:cs="Arial"/>
          <w:sz w:val="22"/>
          <w:szCs w:val="22"/>
        </w:rPr>
      </w:pPr>
    </w:p>
    <w:p w14:paraId="03570004">
      <w:pPr>
        <w:pStyle w:val="65"/>
        <w:numPr>
          <w:ilvl w:val="0"/>
          <w:numId w:val="60"/>
        </w:numPr>
        <w:rPr>
          <w:rFonts w:ascii="Century Gothic" w:hAnsi="Century Gothic" w:cs="Arial"/>
          <w:sz w:val="22"/>
          <w:szCs w:val="22"/>
        </w:rPr>
      </w:pPr>
      <w:r>
        <w:rPr>
          <w:rFonts w:ascii="Century Gothic" w:hAnsi="Century Gothic" w:cs="Arial"/>
          <w:sz w:val="22"/>
          <w:szCs w:val="22"/>
          <w:u w:val="single"/>
        </w:rPr>
        <w:t>Productos:</w:t>
      </w:r>
      <w:r>
        <w:rPr>
          <w:rFonts w:ascii="Century Gothic" w:hAnsi="Century Gothic" w:cs="Arial"/>
          <w:sz w:val="22"/>
          <w:szCs w:val="22"/>
        </w:rPr>
        <w:t xml:space="preserve"> Son las operaciones legalmente autorizadas que pueda perfeccionar la Entidad mediante la celebración de un contrato.</w:t>
      </w:r>
    </w:p>
    <w:p w14:paraId="3BA83E78">
      <w:pPr>
        <w:rPr>
          <w:rFonts w:ascii="Century Gothic" w:hAnsi="Century Gothic" w:cs="Arial"/>
          <w:sz w:val="22"/>
          <w:szCs w:val="22"/>
        </w:rPr>
      </w:pPr>
    </w:p>
    <w:p w14:paraId="40715118">
      <w:pPr>
        <w:pStyle w:val="65"/>
        <w:numPr>
          <w:ilvl w:val="0"/>
          <w:numId w:val="60"/>
        </w:numPr>
        <w:rPr>
          <w:rFonts w:ascii="Century Gothic" w:hAnsi="Century Gothic" w:cs="Arial"/>
          <w:sz w:val="22"/>
          <w:szCs w:val="22"/>
        </w:rPr>
      </w:pPr>
      <w:r>
        <w:rPr>
          <w:rFonts w:ascii="Century Gothic" w:hAnsi="Century Gothic" w:cs="Arial"/>
          <w:sz w:val="22"/>
          <w:szCs w:val="22"/>
          <w:u w:val="single"/>
        </w:rPr>
        <w:t>Canales de distribución:</w:t>
      </w:r>
      <w:r>
        <w:rPr>
          <w:rFonts w:ascii="Century Gothic" w:hAnsi="Century Gothic" w:cs="Arial"/>
          <w:sz w:val="22"/>
          <w:szCs w:val="22"/>
        </w:rPr>
        <w:t xml:space="preserve"> Son los medios por los cuales se ofrecen los productos y servicios de la Entidad. </w:t>
      </w:r>
    </w:p>
    <w:p w14:paraId="5640D4D8">
      <w:pPr>
        <w:rPr>
          <w:rFonts w:ascii="Century Gothic" w:hAnsi="Century Gothic" w:cs="Arial"/>
          <w:sz w:val="22"/>
          <w:szCs w:val="22"/>
        </w:rPr>
      </w:pPr>
    </w:p>
    <w:p w14:paraId="1032351E">
      <w:pPr>
        <w:pStyle w:val="65"/>
        <w:numPr>
          <w:ilvl w:val="0"/>
          <w:numId w:val="60"/>
        </w:numPr>
        <w:rPr>
          <w:rFonts w:ascii="Century Gothic" w:hAnsi="Century Gothic" w:cs="Arial"/>
          <w:sz w:val="22"/>
          <w:szCs w:val="22"/>
        </w:rPr>
      </w:pPr>
      <w:r>
        <w:rPr>
          <w:rFonts w:ascii="Century Gothic" w:hAnsi="Century Gothic" w:cs="Arial"/>
          <w:sz w:val="22"/>
          <w:szCs w:val="22"/>
          <w:u w:val="single"/>
        </w:rPr>
        <w:t>Jurisdicciones:</w:t>
      </w:r>
      <w:r>
        <w:rPr>
          <w:rFonts w:ascii="Century Gothic" w:hAnsi="Century Gothic" w:cs="Arial"/>
          <w:sz w:val="22"/>
          <w:szCs w:val="22"/>
        </w:rPr>
        <w:t xml:space="preserve"> Es la ubicación geográfica donde la Entidad establece los productos y legaliza la relación contractual. </w:t>
      </w:r>
    </w:p>
    <w:p w14:paraId="712C80C9">
      <w:pPr>
        <w:autoSpaceDE w:val="0"/>
        <w:autoSpaceDN w:val="0"/>
        <w:adjustRightInd w:val="0"/>
        <w:ind w:left="993"/>
        <w:rPr>
          <w:rFonts w:ascii="Century Gothic" w:hAnsi="Century Gothic" w:cs="Arial"/>
          <w:bCs/>
          <w:sz w:val="22"/>
          <w:szCs w:val="22"/>
          <w:lang w:eastAsia="es-CO"/>
        </w:rPr>
      </w:pPr>
    </w:p>
    <w:p w14:paraId="53558466">
      <w:pPr>
        <w:rPr>
          <w:rFonts w:ascii="Century Gothic" w:hAnsi="Century Gothic" w:cs="Arial"/>
          <w:sz w:val="22"/>
          <w:szCs w:val="22"/>
        </w:rPr>
      </w:pPr>
      <w:r>
        <w:rPr>
          <w:rFonts w:ascii="Century Gothic" w:hAnsi="Century Gothic" w:cs="Arial"/>
          <w:sz w:val="22"/>
          <w:szCs w:val="22"/>
        </w:rPr>
        <w:t>La Entidad segmenta los factores de riesgos atendiendo las características particulares de cada uno de ellos y garantizando la homogeneidad y la heterogeneidad entre los segmentos.</w:t>
      </w:r>
    </w:p>
    <w:p w14:paraId="12C50DC1">
      <w:pPr>
        <w:rPr>
          <w:rFonts w:ascii="Century Gothic" w:hAnsi="Century Gothic" w:cs="Arial"/>
          <w:sz w:val="22"/>
          <w:szCs w:val="22"/>
        </w:rPr>
      </w:pPr>
    </w:p>
    <w:p w14:paraId="2CAD70A4">
      <w:pPr>
        <w:rPr>
          <w:rFonts w:ascii="Century Gothic" w:hAnsi="Century Gothic" w:cs="Arial"/>
          <w:b/>
          <w:sz w:val="22"/>
          <w:szCs w:val="22"/>
        </w:rPr>
      </w:pPr>
      <w:r>
        <w:rPr>
          <w:rFonts w:ascii="Century Gothic" w:hAnsi="Century Gothic" w:cs="Arial"/>
          <w:sz w:val="22"/>
          <w:szCs w:val="22"/>
        </w:rPr>
        <w:t>El proceso de segmentación permitirá evaluar el comportamiento de cada uno de los segmentos, para definir el nivel de exposición del riesgo del LA/FT en la Entidad.</w:t>
      </w:r>
    </w:p>
    <w:p w14:paraId="14C72104">
      <w:pPr>
        <w:rPr>
          <w:rFonts w:ascii="Century Gothic" w:hAnsi="Century Gothic" w:cs="Arial"/>
          <w:sz w:val="22"/>
          <w:szCs w:val="22"/>
        </w:rPr>
      </w:pPr>
    </w:p>
    <w:p w14:paraId="364A5D56">
      <w:pPr>
        <w:rPr>
          <w:rFonts w:ascii="Century Gothic" w:hAnsi="Century Gothic" w:cs="Arial"/>
          <w:sz w:val="22"/>
          <w:szCs w:val="22"/>
        </w:rPr>
      </w:pPr>
      <w:r>
        <w:rPr>
          <w:rFonts w:ascii="Century Gothic" w:hAnsi="Century Gothic" w:cs="Arial"/>
          <w:sz w:val="22"/>
          <w:szCs w:val="22"/>
        </w:rPr>
        <w:t>A través de la segmentación, la Entidad podrá determinar las características usuales de las transacciones que se desarrollan y compararlas con aquellas que realicen los clientes/asociados, a efectos de detectar las operaciones inusuales o sospechosas.</w:t>
      </w:r>
    </w:p>
    <w:p w14:paraId="5DEB7FA3">
      <w:pPr>
        <w:rPr>
          <w:rFonts w:ascii="Century Gothic" w:hAnsi="Century Gothic" w:cs="Arial"/>
          <w:sz w:val="22"/>
          <w:szCs w:val="22"/>
        </w:rPr>
      </w:pPr>
    </w:p>
    <w:p w14:paraId="2E8C706D">
      <w:pPr>
        <w:rPr>
          <w:rFonts w:ascii="Century Gothic" w:hAnsi="Century Gothic" w:cs="Arial"/>
          <w:sz w:val="22"/>
          <w:szCs w:val="22"/>
        </w:rPr>
      </w:pPr>
      <w:r>
        <w:rPr>
          <w:rFonts w:ascii="Century Gothic" w:hAnsi="Century Gothic" w:cs="Arial"/>
          <w:sz w:val="22"/>
          <w:szCs w:val="22"/>
        </w:rPr>
        <w:t>La metodología definida por la Entidad para la segmentación de los factores de riesgo se establece de la siguiente manera y se llevará a cabo con la información que se tenga disponible:</w:t>
      </w:r>
    </w:p>
    <w:p w14:paraId="5CC1C1C3">
      <w:pPr>
        <w:pStyle w:val="4"/>
        <w:rPr>
          <w:rFonts w:ascii="Century Gothic" w:hAnsi="Century Gothic"/>
          <w:sz w:val="22"/>
          <w:szCs w:val="22"/>
        </w:rPr>
      </w:pPr>
      <w:bookmarkStart w:id="91" w:name="_Toc487230453"/>
      <w:r>
        <w:rPr>
          <w:rFonts w:ascii="Century Gothic" w:hAnsi="Century Gothic"/>
          <w:sz w:val="22"/>
          <w:szCs w:val="22"/>
        </w:rPr>
        <w:t>Segmentación por Clientes/Asociados</w:t>
      </w:r>
      <w:bookmarkEnd w:id="91"/>
    </w:p>
    <w:p w14:paraId="10335093"/>
    <w:tbl>
      <w:tblPr>
        <w:tblStyle w:val="113"/>
        <w:tblW w:w="4978" w:type="pct"/>
        <w:tblInd w:w="0" w:type="dxa"/>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Layout w:type="autofit"/>
        <w:tblCellMar>
          <w:top w:w="0" w:type="dxa"/>
          <w:left w:w="108" w:type="dxa"/>
          <w:bottom w:w="0" w:type="dxa"/>
          <w:right w:w="108" w:type="dxa"/>
        </w:tblCellMar>
      </w:tblPr>
      <w:tblGrid>
        <w:gridCol w:w="1365"/>
        <w:gridCol w:w="7649"/>
      </w:tblGrid>
      <w:tr w14:paraId="40B4A303">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453" w:hRule="atLeast"/>
        </w:trPr>
        <w:tc>
          <w:tcPr>
            <w:tcW w:w="757" w:type="pct"/>
            <w:tcBorders>
              <w:bottom w:val="single" w:color="8EAADB" w:themeColor="accent5" w:themeTint="99" w:sz="12" w:space="0"/>
              <w:insideH w:val="single" w:sz="12" w:space="0"/>
            </w:tcBorders>
          </w:tcPr>
          <w:p w14:paraId="1BA6DF1C">
            <w:pPr>
              <w:jc w:val="center"/>
              <w:rPr>
                <w:rFonts w:ascii="Century Gothic" w:hAnsi="Century Gothic" w:cs="Arial"/>
                <w:b w:val="0"/>
                <w:bCs/>
                <w:color w:val="auto"/>
                <w:sz w:val="20"/>
                <w:szCs w:val="20"/>
              </w:rPr>
            </w:pPr>
            <w:bookmarkStart w:id="92" w:name="_Toc487230454"/>
            <w:r>
              <w:rPr>
                <w:rFonts w:ascii="Century Gothic" w:hAnsi="Century Gothic" w:cs="Arial"/>
                <w:b/>
                <w:bCs/>
                <w:color w:val="auto"/>
                <w:sz w:val="20"/>
                <w:szCs w:val="20"/>
              </w:rPr>
              <w:t>SEGMENTO</w:t>
            </w:r>
          </w:p>
        </w:tc>
        <w:tc>
          <w:tcPr>
            <w:tcW w:w="4243" w:type="pct"/>
            <w:tcBorders>
              <w:bottom w:val="single" w:color="8EAADB" w:themeColor="accent5" w:themeTint="99" w:sz="12" w:space="0"/>
              <w:insideH w:val="single" w:sz="12" w:space="0"/>
            </w:tcBorders>
          </w:tcPr>
          <w:p w14:paraId="6BCA087D">
            <w:pPr>
              <w:jc w:val="center"/>
              <w:rPr>
                <w:rFonts w:ascii="Century Gothic" w:hAnsi="Century Gothic" w:cs="Arial"/>
                <w:b w:val="0"/>
                <w:bCs/>
                <w:color w:val="auto"/>
                <w:sz w:val="20"/>
                <w:szCs w:val="20"/>
              </w:rPr>
            </w:pPr>
            <w:r>
              <w:rPr>
                <w:rFonts w:ascii="Century Gothic" w:hAnsi="Century Gothic" w:cs="Arial"/>
                <w:b/>
                <w:bCs/>
                <w:color w:val="auto"/>
                <w:sz w:val="20"/>
                <w:szCs w:val="20"/>
              </w:rPr>
              <w:t xml:space="preserve">DEFINICIÓN DEL SEGMENTO  </w:t>
            </w:r>
          </w:p>
        </w:tc>
      </w:tr>
      <w:tr w14:paraId="555074A7">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453" w:hRule="atLeast"/>
        </w:trPr>
        <w:tc>
          <w:tcPr>
            <w:tcW w:w="757" w:type="pct"/>
            <w:shd w:val="clear" w:color="auto" w:fill="D9E2F3" w:themeFill="accent5" w:themeFillTint="33"/>
          </w:tcPr>
          <w:p w14:paraId="540AAD68">
            <w:pPr>
              <w:jc w:val="center"/>
              <w:rPr>
                <w:rFonts w:ascii="Century Gothic" w:hAnsi="Century Gothic" w:cs="Arial"/>
                <w:b/>
                <w:bCs/>
                <w:color w:val="auto"/>
                <w:sz w:val="20"/>
                <w:szCs w:val="20"/>
              </w:rPr>
            </w:pPr>
            <w:r>
              <w:rPr>
                <w:rFonts w:ascii="Century Gothic" w:hAnsi="Century Gothic" w:cs="Arial"/>
                <w:b/>
                <w:bCs/>
                <w:color w:val="auto"/>
                <w:sz w:val="20"/>
                <w:szCs w:val="20"/>
              </w:rPr>
              <w:t xml:space="preserve">Persona Natural </w:t>
            </w:r>
          </w:p>
          <w:p w14:paraId="43D1FE16">
            <w:pPr>
              <w:jc w:val="center"/>
              <w:rPr>
                <w:rFonts w:ascii="Century Gothic" w:hAnsi="Century Gothic" w:cs="Arial"/>
                <w:b/>
                <w:bCs/>
                <w:color w:val="auto"/>
                <w:sz w:val="20"/>
                <w:szCs w:val="20"/>
              </w:rPr>
            </w:pPr>
          </w:p>
        </w:tc>
        <w:tc>
          <w:tcPr>
            <w:tcW w:w="4243" w:type="pct"/>
            <w:vMerge w:val="restart"/>
            <w:shd w:val="clear" w:color="auto" w:fill="D9E2F3" w:themeFill="accent5" w:themeFillTint="33"/>
          </w:tcPr>
          <w:p w14:paraId="1D41B69E">
            <w:pPr>
              <w:pStyle w:val="65"/>
              <w:autoSpaceDE w:val="0"/>
              <w:autoSpaceDN w:val="0"/>
              <w:adjustRightInd w:val="0"/>
              <w:ind w:left="360"/>
              <w:rPr>
                <w:rFonts w:ascii="Century Gothic" w:hAnsi="Century Gothic" w:cs="Arial" w:eastAsiaTheme="minorHAnsi"/>
                <w:color w:val="auto"/>
                <w:lang w:eastAsia="en-US"/>
              </w:rPr>
            </w:pPr>
          </w:p>
          <w:p w14:paraId="1E704D41">
            <w:pPr>
              <w:pStyle w:val="65"/>
              <w:autoSpaceDE w:val="0"/>
              <w:autoSpaceDN w:val="0"/>
              <w:adjustRightInd w:val="0"/>
              <w:ind w:left="360"/>
              <w:rPr>
                <w:rFonts w:ascii="Century Gothic" w:hAnsi="Century Gothic" w:cs="Arial" w:eastAsiaTheme="minorHAnsi"/>
                <w:color w:val="auto"/>
                <w:lang w:eastAsia="en-US"/>
              </w:rPr>
            </w:pPr>
            <w:r>
              <w:rPr>
                <w:rFonts w:ascii="Century Gothic" w:hAnsi="Century Gothic" w:cs="Arial" w:eastAsiaTheme="minorHAnsi"/>
                <w:color w:val="auto"/>
                <w:lang w:eastAsia="en-US"/>
              </w:rPr>
              <w:t>Personas naturales y jurídicas de derecho público y las privadas sin ánimo de lucro que cumplan con las condiciones y requisitos establecidos en el estatuto  de la Entidad y la ley 79 de 1988.</w:t>
            </w:r>
          </w:p>
        </w:tc>
      </w:tr>
      <w:tr w14:paraId="39ABEA1B">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453" w:hRule="atLeast"/>
        </w:trPr>
        <w:tc>
          <w:tcPr>
            <w:tcW w:w="757" w:type="pct"/>
          </w:tcPr>
          <w:p w14:paraId="38AB434D">
            <w:pPr>
              <w:jc w:val="center"/>
              <w:rPr>
                <w:rFonts w:ascii="Century Gothic" w:hAnsi="Century Gothic" w:cs="Arial"/>
                <w:b/>
                <w:bCs/>
                <w:color w:val="auto"/>
                <w:sz w:val="20"/>
                <w:szCs w:val="20"/>
              </w:rPr>
            </w:pPr>
            <w:r>
              <w:rPr>
                <w:rFonts w:ascii="Century Gothic" w:hAnsi="Century Gothic" w:cs="Arial"/>
                <w:b/>
                <w:bCs/>
                <w:color w:val="auto"/>
                <w:sz w:val="20"/>
                <w:szCs w:val="20"/>
              </w:rPr>
              <w:t>Persona Jurídica</w:t>
            </w:r>
          </w:p>
          <w:p w14:paraId="299E72A4">
            <w:pPr>
              <w:jc w:val="center"/>
              <w:rPr>
                <w:rFonts w:ascii="Century Gothic" w:hAnsi="Century Gothic" w:cs="Arial"/>
                <w:b/>
                <w:bCs/>
                <w:color w:val="auto"/>
                <w:sz w:val="20"/>
                <w:szCs w:val="20"/>
              </w:rPr>
            </w:pPr>
          </w:p>
        </w:tc>
        <w:tc>
          <w:tcPr>
            <w:tcW w:w="4243" w:type="pct"/>
            <w:vMerge w:val="continue"/>
          </w:tcPr>
          <w:p w14:paraId="3EA0CB81">
            <w:pPr>
              <w:pStyle w:val="65"/>
              <w:autoSpaceDE w:val="0"/>
              <w:autoSpaceDN w:val="0"/>
              <w:adjustRightInd w:val="0"/>
              <w:ind w:left="360"/>
              <w:rPr>
                <w:rFonts w:ascii="Century Gothic" w:hAnsi="Century Gothic" w:cs="Arial" w:eastAsiaTheme="minorHAnsi"/>
                <w:color w:val="auto"/>
                <w:lang w:eastAsia="en-US"/>
              </w:rPr>
            </w:pPr>
          </w:p>
        </w:tc>
      </w:tr>
    </w:tbl>
    <w:p w14:paraId="501B20F9">
      <w:pPr>
        <w:pStyle w:val="86"/>
      </w:pPr>
    </w:p>
    <w:p w14:paraId="3C683873">
      <w:pPr>
        <w:pStyle w:val="107"/>
        <w:spacing w:before="160" w:after="100"/>
        <w:jc w:val="both"/>
        <w:rPr>
          <w:rFonts w:ascii="Century Gothic" w:hAnsi="Century Gothic" w:cs="ITC Franklin Gothic Std Book"/>
          <w:bCs/>
          <w:color w:val="000000"/>
          <w:sz w:val="22"/>
          <w:szCs w:val="22"/>
        </w:rPr>
      </w:pPr>
      <w:r>
        <w:rPr>
          <w:rFonts w:ascii="Century Gothic" w:hAnsi="Century Gothic" w:cs="ITC Franklin Gothic Std Book"/>
          <w:bCs/>
          <w:color w:val="000000"/>
          <w:sz w:val="22"/>
          <w:szCs w:val="22"/>
        </w:rPr>
        <w:t>Para la segmentación de Clientes/Asociados, la Entidad tendrá en cuenta las siguientes variables:</w:t>
      </w:r>
    </w:p>
    <w:p w14:paraId="054A7663">
      <w:pPr>
        <w:pStyle w:val="86"/>
      </w:pPr>
    </w:p>
    <w:p w14:paraId="14AC68F1">
      <w:pPr>
        <w:pStyle w:val="65"/>
        <w:numPr>
          <w:ilvl w:val="0"/>
          <w:numId w:val="61"/>
        </w:numPr>
        <w:autoSpaceDE w:val="0"/>
        <w:autoSpaceDN w:val="0"/>
        <w:adjustRightInd w:val="0"/>
        <w:rPr>
          <w:rFonts w:ascii="Century Gothic" w:hAnsi="Century Gothic" w:cs="Arial"/>
          <w:sz w:val="22"/>
          <w:szCs w:val="22"/>
        </w:rPr>
      </w:pPr>
      <w:r>
        <w:rPr>
          <w:rFonts w:ascii="Century Gothic" w:hAnsi="Century Gothic" w:cs="Arial"/>
          <w:sz w:val="22"/>
          <w:szCs w:val="22"/>
          <w:u w:val="single"/>
        </w:rPr>
        <w:t>Actividad económica:</w:t>
      </w:r>
      <w:r>
        <w:rPr>
          <w:rFonts w:ascii="Century Gothic" w:hAnsi="Century Gothic" w:cs="Arial"/>
          <w:sz w:val="22"/>
          <w:szCs w:val="22"/>
        </w:rPr>
        <w:t xml:space="preserve"> se encuentra dado por los códigos CIUU asignados a cada asociado al momento de la vinculación o actualización.</w:t>
      </w:r>
    </w:p>
    <w:p w14:paraId="3542A923">
      <w:pPr>
        <w:autoSpaceDE w:val="0"/>
        <w:autoSpaceDN w:val="0"/>
        <w:adjustRightInd w:val="0"/>
        <w:ind w:firstLine="60"/>
        <w:rPr>
          <w:rFonts w:ascii="Century Gothic" w:hAnsi="Century Gothic" w:cs="Arial"/>
          <w:sz w:val="22"/>
          <w:szCs w:val="22"/>
        </w:rPr>
      </w:pPr>
    </w:p>
    <w:p w14:paraId="595F7769">
      <w:pPr>
        <w:pStyle w:val="65"/>
        <w:numPr>
          <w:ilvl w:val="0"/>
          <w:numId w:val="61"/>
        </w:numPr>
        <w:autoSpaceDE w:val="0"/>
        <w:autoSpaceDN w:val="0"/>
        <w:adjustRightInd w:val="0"/>
        <w:rPr>
          <w:rFonts w:ascii="Century Gothic" w:hAnsi="Century Gothic" w:cs="Arial"/>
          <w:sz w:val="22"/>
          <w:szCs w:val="22"/>
        </w:rPr>
      </w:pPr>
      <w:r>
        <w:rPr>
          <w:rFonts w:ascii="Century Gothic" w:hAnsi="Century Gothic" w:cs="Arial"/>
          <w:sz w:val="22"/>
          <w:szCs w:val="22"/>
          <w:u w:val="single"/>
        </w:rPr>
        <w:t xml:space="preserve">Volumen y frecuencia de las transacciones: </w:t>
      </w:r>
      <w:r>
        <w:rPr>
          <w:rFonts w:ascii="Century Gothic" w:hAnsi="Century Gothic" w:cs="Arial"/>
          <w:sz w:val="22"/>
          <w:szCs w:val="22"/>
        </w:rPr>
        <w:t xml:space="preserve">ésta representa el tipo de transacción que realice a través de los diferentes canales y su cantidad en un tiempo determinado.  </w:t>
      </w:r>
    </w:p>
    <w:p w14:paraId="3E74CCDD">
      <w:pPr>
        <w:autoSpaceDE w:val="0"/>
        <w:autoSpaceDN w:val="0"/>
        <w:adjustRightInd w:val="0"/>
        <w:ind w:left="360"/>
        <w:rPr>
          <w:rFonts w:ascii="Century Gothic" w:hAnsi="Century Gothic" w:cs="Arial"/>
          <w:sz w:val="22"/>
          <w:szCs w:val="22"/>
        </w:rPr>
      </w:pPr>
    </w:p>
    <w:p w14:paraId="21E40C55">
      <w:pPr>
        <w:pStyle w:val="65"/>
        <w:numPr>
          <w:ilvl w:val="0"/>
          <w:numId w:val="61"/>
        </w:numPr>
        <w:autoSpaceDE w:val="0"/>
        <w:autoSpaceDN w:val="0"/>
        <w:adjustRightInd w:val="0"/>
        <w:rPr>
          <w:rFonts w:ascii="Century Gothic" w:hAnsi="Century Gothic" w:cs="Arial"/>
          <w:b/>
          <w:sz w:val="22"/>
          <w:szCs w:val="22"/>
        </w:rPr>
      </w:pPr>
      <w:r>
        <w:rPr>
          <w:rFonts w:ascii="Century Gothic" w:hAnsi="Century Gothic" w:cs="Arial"/>
          <w:sz w:val="22"/>
          <w:szCs w:val="22"/>
          <w:u w:val="single"/>
        </w:rPr>
        <w:t>Monto de ingresos, egresos, activos, pasivos y patrimonio:</w:t>
      </w:r>
      <w:r>
        <w:rPr>
          <w:rFonts w:ascii="Century Gothic" w:hAnsi="Century Gothic" w:cs="Arial"/>
          <w:sz w:val="22"/>
          <w:szCs w:val="22"/>
        </w:rPr>
        <w:t xml:space="preserve"> se encuentran dados por lo especificado en los campos de ingresos, egresos, activos, pasivos y patrimonio en el momento de la vinculación o la actualización.</w:t>
      </w:r>
    </w:p>
    <w:p w14:paraId="44B9EEBF">
      <w:pPr>
        <w:pStyle w:val="65"/>
        <w:rPr>
          <w:rFonts w:ascii="Century Gothic" w:hAnsi="Century Gothic" w:cs="Arial"/>
          <w:b/>
          <w:sz w:val="22"/>
          <w:szCs w:val="22"/>
        </w:rPr>
      </w:pPr>
    </w:p>
    <w:p w14:paraId="2C08F55F">
      <w:pPr>
        <w:pStyle w:val="65"/>
        <w:numPr>
          <w:ilvl w:val="0"/>
          <w:numId w:val="61"/>
        </w:numPr>
        <w:autoSpaceDE w:val="0"/>
        <w:autoSpaceDN w:val="0"/>
        <w:adjustRightInd w:val="0"/>
        <w:rPr>
          <w:rFonts w:ascii="Century Gothic" w:hAnsi="Century Gothic" w:cs="Arial"/>
          <w:sz w:val="22"/>
          <w:szCs w:val="22"/>
        </w:rPr>
      </w:pPr>
      <w:r>
        <w:rPr>
          <w:rFonts w:ascii="Century Gothic" w:hAnsi="Century Gothic" w:cs="Arial"/>
          <w:i/>
          <w:sz w:val="22"/>
          <w:szCs w:val="22"/>
          <w:u w:val="single"/>
        </w:rPr>
        <w:t>PEPS</w:t>
      </w:r>
      <w:r>
        <w:rPr>
          <w:rFonts w:ascii="Century Gothic" w:hAnsi="Century Gothic" w:cs="Arial"/>
          <w:sz w:val="22"/>
          <w:szCs w:val="22"/>
          <w:u w:val="single"/>
        </w:rPr>
        <w:t>:</w:t>
      </w:r>
      <w:r>
        <w:rPr>
          <w:rFonts w:ascii="Century Gothic" w:hAnsi="Century Gothic" w:cs="Arial"/>
          <w:sz w:val="22"/>
          <w:szCs w:val="22"/>
        </w:rPr>
        <w:t xml:space="preserve"> Personas naturales que manejan recursos públicos, ostentan algún grado de poder público o gozan de reconocimiento público.</w:t>
      </w:r>
    </w:p>
    <w:p w14:paraId="6EBA0B23">
      <w:pPr>
        <w:pStyle w:val="86"/>
        <w:jc w:val="both"/>
        <w:rPr>
          <w:rFonts w:ascii="Century Gothic" w:hAnsi="Century Gothic"/>
          <w:sz w:val="22"/>
          <w:szCs w:val="22"/>
          <w:lang w:val="es-ES"/>
        </w:rPr>
      </w:pPr>
    </w:p>
    <w:p w14:paraId="724A1E72">
      <w:pPr>
        <w:pStyle w:val="86"/>
        <w:jc w:val="both"/>
        <w:rPr>
          <w:rFonts w:ascii="Century Gothic" w:hAnsi="Century Gothic"/>
          <w:sz w:val="22"/>
          <w:szCs w:val="22"/>
          <w:lang w:val="es-ES"/>
        </w:rPr>
      </w:pPr>
    </w:p>
    <w:p w14:paraId="207EE870">
      <w:pPr>
        <w:pStyle w:val="86"/>
        <w:jc w:val="both"/>
        <w:rPr>
          <w:rFonts w:ascii="Century Gothic" w:hAnsi="Century Gothic"/>
          <w:b/>
          <w:sz w:val="22"/>
          <w:szCs w:val="22"/>
        </w:rPr>
      </w:pPr>
      <w:r>
        <w:rPr>
          <w:rFonts w:ascii="Century Gothic" w:hAnsi="Century Gothic"/>
          <w:b/>
          <w:sz w:val="22"/>
          <w:szCs w:val="22"/>
        </w:rPr>
        <w:t>Segmentación por Productos</w:t>
      </w:r>
      <w:bookmarkEnd w:id="92"/>
    </w:p>
    <w:p w14:paraId="08591FE9">
      <w:pPr>
        <w:tabs>
          <w:tab w:val="left" w:pos="1234"/>
        </w:tabs>
        <w:rPr>
          <w:rFonts w:ascii="Century Gothic" w:hAnsi="Century Gothic" w:cs="Arial"/>
          <w:sz w:val="22"/>
          <w:szCs w:val="22"/>
        </w:rPr>
      </w:pPr>
    </w:p>
    <w:tbl>
      <w:tblPr>
        <w:tblStyle w:val="113"/>
        <w:tblW w:w="5000" w:type="pct"/>
        <w:tblInd w:w="0" w:type="dxa"/>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Layout w:type="autofit"/>
        <w:tblCellMar>
          <w:top w:w="0" w:type="dxa"/>
          <w:left w:w="108" w:type="dxa"/>
          <w:bottom w:w="0" w:type="dxa"/>
          <w:right w:w="108" w:type="dxa"/>
        </w:tblCellMar>
      </w:tblPr>
      <w:tblGrid>
        <w:gridCol w:w="1561"/>
        <w:gridCol w:w="7493"/>
      </w:tblGrid>
      <w:tr w14:paraId="7774DD98">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340" w:hRule="atLeast"/>
        </w:trPr>
        <w:tc>
          <w:tcPr>
            <w:tcW w:w="862" w:type="pct"/>
            <w:tcBorders>
              <w:bottom w:val="single" w:color="8EAADB" w:themeColor="accent5" w:themeTint="99" w:sz="12" w:space="0"/>
              <w:insideH w:val="single" w:sz="12" w:space="0"/>
            </w:tcBorders>
          </w:tcPr>
          <w:p w14:paraId="1A6BCBAC">
            <w:pPr>
              <w:jc w:val="center"/>
              <w:rPr>
                <w:rFonts w:ascii="Century Gothic" w:hAnsi="Century Gothic" w:cs="Arial"/>
                <w:b w:val="0"/>
                <w:bCs/>
                <w:color w:val="auto"/>
                <w:sz w:val="20"/>
                <w:szCs w:val="20"/>
              </w:rPr>
            </w:pPr>
            <w:r>
              <w:rPr>
                <w:rFonts w:ascii="Century Gothic" w:hAnsi="Century Gothic" w:cs="Arial"/>
                <w:b/>
                <w:bCs/>
                <w:color w:val="auto"/>
                <w:sz w:val="20"/>
                <w:szCs w:val="20"/>
              </w:rPr>
              <w:t>SEGMENTO</w:t>
            </w:r>
          </w:p>
        </w:tc>
        <w:tc>
          <w:tcPr>
            <w:tcW w:w="4138" w:type="pct"/>
            <w:tcBorders>
              <w:bottom w:val="single" w:color="8EAADB" w:themeColor="accent5" w:themeTint="99" w:sz="12" w:space="0"/>
              <w:insideH w:val="single" w:sz="12" w:space="0"/>
            </w:tcBorders>
          </w:tcPr>
          <w:p w14:paraId="34713E6E">
            <w:pPr>
              <w:jc w:val="center"/>
              <w:rPr>
                <w:rFonts w:ascii="Century Gothic" w:hAnsi="Century Gothic" w:cs="Arial"/>
                <w:b w:val="0"/>
                <w:bCs/>
                <w:color w:val="auto"/>
                <w:sz w:val="20"/>
                <w:szCs w:val="20"/>
              </w:rPr>
            </w:pPr>
            <w:r>
              <w:rPr>
                <w:rFonts w:ascii="Century Gothic" w:hAnsi="Century Gothic" w:cs="Arial"/>
                <w:b/>
                <w:bCs/>
                <w:color w:val="auto"/>
                <w:sz w:val="20"/>
                <w:szCs w:val="20"/>
              </w:rPr>
              <w:t xml:space="preserve">DEFINICIÓN DEL SEGMENTO  </w:t>
            </w:r>
          </w:p>
        </w:tc>
      </w:tr>
      <w:tr w14:paraId="0C51F337">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819" w:hRule="atLeast"/>
        </w:trPr>
        <w:tc>
          <w:tcPr>
            <w:tcW w:w="862" w:type="pct"/>
            <w:shd w:val="clear" w:color="auto" w:fill="D9E2F3" w:themeFill="accent5" w:themeFillTint="33"/>
          </w:tcPr>
          <w:p w14:paraId="5966160A">
            <w:pPr>
              <w:jc w:val="center"/>
              <w:rPr>
                <w:rFonts w:ascii="Century Gothic" w:hAnsi="Century Gothic" w:cs="Arial"/>
                <w:b/>
                <w:bCs/>
                <w:color w:val="auto"/>
                <w:sz w:val="20"/>
                <w:szCs w:val="20"/>
              </w:rPr>
            </w:pPr>
            <w:r>
              <w:rPr>
                <w:rFonts w:ascii="Century Gothic" w:hAnsi="Century Gothic" w:cs="Arial"/>
                <w:b/>
                <w:bCs/>
                <w:color w:val="auto"/>
                <w:sz w:val="20"/>
                <w:szCs w:val="20"/>
              </w:rPr>
              <w:t>Productos Colocación</w:t>
            </w:r>
          </w:p>
        </w:tc>
        <w:tc>
          <w:tcPr>
            <w:tcW w:w="4138" w:type="pct"/>
            <w:shd w:val="clear" w:color="auto" w:fill="D9E2F3" w:themeFill="accent5" w:themeFillTint="33"/>
          </w:tcPr>
          <w:p w14:paraId="3C68675B">
            <w:pPr>
              <w:ind w:left="33"/>
              <w:rPr>
                <w:rFonts w:ascii="Century Gothic" w:hAnsi="Century Gothic" w:cs="Arial"/>
                <w:color w:val="auto"/>
                <w:sz w:val="20"/>
                <w:szCs w:val="20"/>
                <w:u w:val="single"/>
              </w:rPr>
            </w:pPr>
            <w:r>
              <w:rPr>
                <w:rFonts w:ascii="Century Gothic" w:hAnsi="Century Gothic" w:cs="Arial"/>
                <w:color w:val="auto"/>
                <w:sz w:val="20"/>
                <w:szCs w:val="20"/>
              </w:rPr>
              <w:t>Productos mediante los cuales la Entidad otorga créditos a los asociados bajo el compromiso de una restitución futura y condiciones pactadas de acuerdo con la Ley.</w:t>
            </w:r>
          </w:p>
        </w:tc>
      </w:tr>
      <w:tr w14:paraId="0C1F3431">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721" w:hRule="atLeast"/>
        </w:trPr>
        <w:tc>
          <w:tcPr>
            <w:tcW w:w="862" w:type="pct"/>
          </w:tcPr>
          <w:p w14:paraId="3EEC40B3">
            <w:pPr>
              <w:rPr>
                <w:rFonts w:ascii="Century Gothic" w:hAnsi="Century Gothic" w:cs="Arial"/>
                <w:b/>
                <w:bCs/>
                <w:color w:val="auto"/>
                <w:sz w:val="20"/>
                <w:szCs w:val="20"/>
              </w:rPr>
            </w:pPr>
          </w:p>
          <w:p w14:paraId="087AE3F4">
            <w:pPr>
              <w:jc w:val="center"/>
              <w:rPr>
                <w:rFonts w:ascii="Century Gothic" w:hAnsi="Century Gothic" w:cs="Arial"/>
                <w:b/>
                <w:bCs/>
                <w:color w:val="auto"/>
                <w:sz w:val="20"/>
                <w:szCs w:val="20"/>
              </w:rPr>
            </w:pPr>
            <w:r>
              <w:rPr>
                <w:rFonts w:ascii="Century Gothic" w:hAnsi="Century Gothic" w:cs="Arial"/>
                <w:b/>
                <w:bCs/>
                <w:color w:val="auto"/>
                <w:sz w:val="20"/>
                <w:szCs w:val="20"/>
              </w:rPr>
              <w:t>Aportes Sociales</w:t>
            </w:r>
          </w:p>
        </w:tc>
        <w:tc>
          <w:tcPr>
            <w:tcW w:w="4138" w:type="pct"/>
          </w:tcPr>
          <w:p w14:paraId="6D87C1B5">
            <w:pPr>
              <w:ind w:left="33"/>
              <w:rPr>
                <w:rFonts w:ascii="Century Gothic" w:hAnsi="Century Gothic" w:cs="Arial"/>
                <w:color w:val="auto"/>
                <w:sz w:val="20"/>
                <w:szCs w:val="20"/>
              </w:rPr>
            </w:pPr>
            <w:r>
              <w:rPr>
                <w:rFonts w:ascii="Century Gothic" w:hAnsi="Century Gothic"/>
                <w:color w:val="auto"/>
                <w:sz w:val="20"/>
                <w:szCs w:val="20"/>
              </w:rPr>
              <w:t>Productos que constituyen los aportes sociales individuales que aportan los asociados y que tiene como finalidad principal facilitar a la Entidad recursos económicos para el desarrollo de las actividades y servicios que permitan satisfacer las necesidades de sus asociados.</w:t>
            </w:r>
          </w:p>
        </w:tc>
      </w:tr>
    </w:tbl>
    <w:p w14:paraId="29F61A2A">
      <w:pPr>
        <w:tabs>
          <w:tab w:val="left" w:pos="1234"/>
        </w:tabs>
        <w:rPr>
          <w:rFonts w:ascii="Century Gothic" w:hAnsi="Century Gothic" w:cs="Arial"/>
          <w:sz w:val="22"/>
          <w:szCs w:val="22"/>
        </w:rPr>
      </w:pPr>
    </w:p>
    <w:p w14:paraId="529784CD">
      <w:pPr>
        <w:pStyle w:val="4"/>
        <w:rPr>
          <w:rFonts w:ascii="Century Gothic" w:hAnsi="Century Gothic"/>
          <w:sz w:val="22"/>
          <w:szCs w:val="22"/>
        </w:rPr>
      </w:pPr>
      <w:bookmarkStart w:id="93" w:name="_Toc487230455"/>
      <w:r>
        <w:rPr>
          <w:rFonts w:ascii="Century Gothic" w:hAnsi="Century Gothic"/>
          <w:sz w:val="22"/>
          <w:szCs w:val="22"/>
        </w:rPr>
        <w:t>Segmentación por Canales de Distribución</w:t>
      </w:r>
      <w:bookmarkEnd w:id="93"/>
    </w:p>
    <w:p w14:paraId="19CE832B"/>
    <w:p w14:paraId="228AC22B">
      <w:pPr>
        <w:rPr>
          <w:rFonts w:ascii="Century Gothic" w:hAnsi="Century Gothic" w:cs="ITC Franklin Gothic Std Book"/>
          <w:color w:val="000000"/>
          <w:sz w:val="22"/>
          <w:szCs w:val="22"/>
        </w:rPr>
      </w:pPr>
      <w:r>
        <w:rPr>
          <w:rFonts w:ascii="Century Gothic" w:hAnsi="Century Gothic" w:cs="ITC Franklin Gothic Std Book"/>
          <w:color w:val="000000"/>
          <w:sz w:val="22"/>
          <w:szCs w:val="22"/>
        </w:rPr>
        <w:t>Para esta variable se definieron canales propios y externos, a través de los cuales se promocionan los productos y servicios de la Entidad.</w:t>
      </w:r>
    </w:p>
    <w:p w14:paraId="4047B247">
      <w:pPr>
        <w:rPr>
          <w:rFonts w:ascii="Century Gothic" w:hAnsi="Century Gothic" w:cs="ITC Franklin Gothic Std Book"/>
          <w:color w:val="000000"/>
          <w:sz w:val="22"/>
          <w:szCs w:val="22"/>
        </w:rPr>
      </w:pPr>
    </w:p>
    <w:tbl>
      <w:tblPr>
        <w:tblStyle w:val="113"/>
        <w:tblW w:w="4829" w:type="pct"/>
        <w:tblInd w:w="0" w:type="dxa"/>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Layout w:type="autofit"/>
        <w:tblCellMar>
          <w:top w:w="0" w:type="dxa"/>
          <w:left w:w="108" w:type="dxa"/>
          <w:bottom w:w="0" w:type="dxa"/>
          <w:right w:w="108" w:type="dxa"/>
        </w:tblCellMar>
      </w:tblPr>
      <w:tblGrid>
        <w:gridCol w:w="1904"/>
        <w:gridCol w:w="6840"/>
      </w:tblGrid>
      <w:tr w14:paraId="25CA1300">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655" w:hRule="atLeast"/>
        </w:trPr>
        <w:tc>
          <w:tcPr>
            <w:tcW w:w="1089" w:type="pct"/>
            <w:tcBorders>
              <w:bottom w:val="single" w:color="8EAADB" w:themeColor="accent5" w:themeTint="99" w:sz="12" w:space="0"/>
              <w:insideH w:val="single" w:sz="12" w:space="0"/>
            </w:tcBorders>
          </w:tcPr>
          <w:p w14:paraId="198F32A6">
            <w:pPr>
              <w:jc w:val="center"/>
              <w:rPr>
                <w:rFonts w:ascii="Century Gothic" w:hAnsi="Century Gothic" w:cs="Arial"/>
                <w:b w:val="0"/>
                <w:bCs/>
                <w:color w:val="auto"/>
                <w:sz w:val="20"/>
                <w:szCs w:val="20"/>
              </w:rPr>
            </w:pPr>
            <w:r>
              <w:rPr>
                <w:rFonts w:ascii="Century Gothic" w:hAnsi="Century Gothic" w:cs="Arial"/>
                <w:b/>
                <w:bCs/>
                <w:color w:val="auto"/>
                <w:sz w:val="20"/>
                <w:szCs w:val="20"/>
              </w:rPr>
              <w:t>SEGMENTO</w:t>
            </w:r>
          </w:p>
        </w:tc>
        <w:tc>
          <w:tcPr>
            <w:tcW w:w="3911" w:type="pct"/>
            <w:tcBorders>
              <w:bottom w:val="single" w:color="8EAADB" w:themeColor="accent5" w:themeTint="99" w:sz="12" w:space="0"/>
              <w:insideH w:val="single" w:sz="12" w:space="0"/>
            </w:tcBorders>
          </w:tcPr>
          <w:p w14:paraId="2596D084">
            <w:pPr>
              <w:jc w:val="center"/>
              <w:rPr>
                <w:rFonts w:ascii="Century Gothic" w:hAnsi="Century Gothic" w:cs="Arial"/>
                <w:b w:val="0"/>
                <w:bCs/>
                <w:color w:val="auto"/>
                <w:sz w:val="20"/>
                <w:szCs w:val="20"/>
              </w:rPr>
            </w:pPr>
            <w:r>
              <w:rPr>
                <w:rFonts w:ascii="Century Gothic" w:hAnsi="Century Gothic" w:cs="Arial"/>
                <w:b/>
                <w:bCs/>
                <w:color w:val="auto"/>
                <w:sz w:val="20"/>
                <w:szCs w:val="20"/>
              </w:rPr>
              <w:t xml:space="preserve">DEFINICIÓN DEL SEGMENTO  </w:t>
            </w:r>
          </w:p>
        </w:tc>
      </w:tr>
      <w:tr w14:paraId="5715DDC5">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1092" w:hRule="atLeast"/>
        </w:trPr>
        <w:tc>
          <w:tcPr>
            <w:tcW w:w="1089" w:type="pct"/>
            <w:shd w:val="clear" w:color="auto" w:fill="D9E2F3" w:themeFill="accent5" w:themeFillTint="33"/>
          </w:tcPr>
          <w:p w14:paraId="58EF58F9">
            <w:pPr>
              <w:jc w:val="center"/>
              <w:rPr>
                <w:rFonts w:ascii="Century Gothic" w:hAnsi="Century Gothic" w:cs="Arial"/>
                <w:b w:val="0"/>
                <w:bCs/>
                <w:color w:val="auto"/>
                <w:sz w:val="20"/>
                <w:szCs w:val="20"/>
              </w:rPr>
            </w:pPr>
          </w:p>
          <w:p w14:paraId="54479F92">
            <w:pPr>
              <w:jc w:val="center"/>
              <w:rPr>
                <w:rFonts w:ascii="Century Gothic" w:hAnsi="Century Gothic" w:cs="Arial"/>
                <w:b w:val="0"/>
                <w:bCs/>
                <w:color w:val="auto"/>
                <w:sz w:val="20"/>
                <w:szCs w:val="20"/>
              </w:rPr>
            </w:pPr>
            <w:r>
              <w:rPr>
                <w:rFonts w:ascii="Century Gothic" w:hAnsi="Century Gothic" w:cs="Arial"/>
                <w:b w:val="0"/>
                <w:bCs/>
                <w:color w:val="auto"/>
                <w:sz w:val="20"/>
                <w:szCs w:val="20"/>
              </w:rPr>
              <w:t>Sucursales o</w:t>
            </w:r>
          </w:p>
          <w:p w14:paraId="5AC18332">
            <w:pPr>
              <w:jc w:val="center"/>
              <w:rPr>
                <w:rFonts w:ascii="Century Gothic" w:hAnsi="Century Gothic" w:cs="Arial"/>
                <w:b w:val="0"/>
                <w:bCs/>
                <w:color w:val="auto"/>
                <w:sz w:val="20"/>
                <w:szCs w:val="20"/>
              </w:rPr>
            </w:pPr>
            <w:r>
              <w:rPr>
                <w:rFonts w:ascii="Century Gothic" w:hAnsi="Century Gothic" w:cs="Arial"/>
                <w:b w:val="0"/>
                <w:bCs/>
                <w:color w:val="auto"/>
                <w:sz w:val="20"/>
                <w:szCs w:val="20"/>
              </w:rPr>
              <w:t xml:space="preserve">Agencias </w:t>
            </w:r>
          </w:p>
        </w:tc>
        <w:tc>
          <w:tcPr>
            <w:tcW w:w="3911" w:type="pct"/>
            <w:shd w:val="clear" w:color="auto" w:fill="D9E2F3" w:themeFill="accent5" w:themeFillTint="33"/>
          </w:tcPr>
          <w:p w14:paraId="71353E3E">
            <w:pPr>
              <w:rPr>
                <w:rFonts w:ascii="Century Gothic" w:hAnsi="Century Gothic" w:cs="Arial"/>
                <w:color w:val="auto"/>
                <w:sz w:val="20"/>
                <w:szCs w:val="20"/>
              </w:rPr>
            </w:pPr>
          </w:p>
          <w:p w14:paraId="4CD3093A">
            <w:pPr>
              <w:rPr>
                <w:rFonts w:ascii="Century Gothic" w:hAnsi="Century Gothic" w:cs="Arial"/>
                <w:color w:val="auto"/>
                <w:sz w:val="20"/>
                <w:szCs w:val="20"/>
              </w:rPr>
            </w:pPr>
            <w:r>
              <w:rPr>
                <w:rFonts w:ascii="Century Gothic" w:hAnsi="Century Gothic" w:cs="Arial"/>
                <w:color w:val="auto"/>
                <w:sz w:val="20"/>
                <w:szCs w:val="20"/>
              </w:rPr>
              <w:t>Canales por medio de los cuales el asociado realiza transacciones en las instalaciones físicas de la Entidad.</w:t>
            </w:r>
          </w:p>
        </w:tc>
      </w:tr>
    </w:tbl>
    <w:p w14:paraId="6156809E">
      <w:pPr>
        <w:rPr>
          <w:rFonts w:ascii="Century Gothic" w:hAnsi="Century Gothic" w:cs="ITC Franklin Gothic Std Book"/>
          <w:color w:val="000000"/>
          <w:sz w:val="22"/>
          <w:szCs w:val="22"/>
        </w:rPr>
      </w:pPr>
    </w:p>
    <w:p w14:paraId="34826863">
      <w:pPr>
        <w:pStyle w:val="4"/>
        <w:rPr>
          <w:rFonts w:ascii="Century Gothic" w:hAnsi="Century Gothic"/>
          <w:sz w:val="22"/>
          <w:szCs w:val="22"/>
        </w:rPr>
      </w:pPr>
      <w:r>
        <w:rPr>
          <w:rFonts w:ascii="Century Gothic" w:hAnsi="Century Gothic"/>
          <w:sz w:val="22"/>
          <w:szCs w:val="22"/>
        </w:rPr>
        <w:t>Segmentación por Jurisdicciones</w:t>
      </w:r>
    </w:p>
    <w:p w14:paraId="09EB6A52"/>
    <w:p w14:paraId="275A82CA">
      <w:pPr>
        <w:rPr>
          <w:rFonts w:ascii="Century Gothic" w:hAnsi="Century Gothic" w:cs="Arial"/>
          <w:sz w:val="22"/>
          <w:szCs w:val="22"/>
        </w:rPr>
      </w:pPr>
      <w:r>
        <w:rPr>
          <w:rFonts w:ascii="Century Gothic" w:hAnsi="Century Gothic" w:cs="Arial"/>
          <w:sz w:val="22"/>
          <w:szCs w:val="22"/>
        </w:rPr>
        <w:t>La clasificación para este factor, tendrá en cuenta la ubicación geográfica en la que se presta el servicio al asociado/cliente y las características de dichas zonas, teniendo las siguientes:</w:t>
      </w:r>
    </w:p>
    <w:p w14:paraId="76DEAC24">
      <w:pPr>
        <w:rPr>
          <w:rFonts w:ascii="Century Gothic" w:hAnsi="Century Gothic" w:cs="Arial"/>
          <w:sz w:val="22"/>
          <w:szCs w:val="22"/>
        </w:rPr>
      </w:pPr>
    </w:p>
    <w:p w14:paraId="577EDCB5">
      <w:pPr>
        <w:rPr>
          <w:rFonts w:ascii="Century Gothic" w:hAnsi="Century Gothic" w:cs="Arial"/>
          <w:sz w:val="22"/>
          <w:szCs w:val="22"/>
        </w:rPr>
      </w:pPr>
    </w:p>
    <w:p w14:paraId="56583F4C">
      <w:pPr>
        <w:rPr>
          <w:rFonts w:ascii="Century Gothic" w:hAnsi="Century Gothic" w:cs="Arial"/>
          <w:sz w:val="22"/>
          <w:szCs w:val="22"/>
        </w:rPr>
      </w:pPr>
    </w:p>
    <w:tbl>
      <w:tblPr>
        <w:tblStyle w:val="113"/>
        <w:tblW w:w="5000" w:type="pct"/>
        <w:tblInd w:w="0" w:type="dxa"/>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Layout w:type="autofit"/>
        <w:tblCellMar>
          <w:top w:w="0" w:type="dxa"/>
          <w:left w:w="108" w:type="dxa"/>
          <w:bottom w:w="0" w:type="dxa"/>
          <w:right w:w="108" w:type="dxa"/>
        </w:tblCellMar>
      </w:tblPr>
      <w:tblGrid>
        <w:gridCol w:w="1842"/>
        <w:gridCol w:w="7212"/>
      </w:tblGrid>
      <w:tr w14:paraId="4C721B8E">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284" w:hRule="atLeast"/>
        </w:trPr>
        <w:tc>
          <w:tcPr>
            <w:tcW w:w="1017" w:type="pct"/>
            <w:tcBorders>
              <w:bottom w:val="single" w:color="8EAADB" w:themeColor="accent5" w:themeTint="99" w:sz="12" w:space="0"/>
              <w:insideH w:val="single" w:sz="12" w:space="0"/>
            </w:tcBorders>
          </w:tcPr>
          <w:p w14:paraId="12811E21">
            <w:pPr>
              <w:jc w:val="center"/>
              <w:rPr>
                <w:rFonts w:ascii="Century Gothic" w:hAnsi="Century Gothic" w:cs="Arial"/>
                <w:b w:val="0"/>
                <w:bCs/>
                <w:color w:val="auto"/>
                <w:sz w:val="20"/>
                <w:szCs w:val="20"/>
              </w:rPr>
            </w:pPr>
            <w:r>
              <w:rPr>
                <w:rFonts w:ascii="Century Gothic" w:hAnsi="Century Gothic" w:cs="Arial"/>
                <w:b/>
                <w:bCs/>
                <w:color w:val="auto"/>
                <w:sz w:val="20"/>
                <w:szCs w:val="20"/>
              </w:rPr>
              <w:t>SEGMENTO</w:t>
            </w:r>
          </w:p>
        </w:tc>
        <w:tc>
          <w:tcPr>
            <w:tcW w:w="3983" w:type="pct"/>
            <w:tcBorders>
              <w:bottom w:val="single" w:color="8EAADB" w:themeColor="accent5" w:themeTint="99" w:sz="12" w:space="0"/>
              <w:insideH w:val="single" w:sz="12" w:space="0"/>
            </w:tcBorders>
          </w:tcPr>
          <w:p w14:paraId="7E6D9174">
            <w:pPr>
              <w:jc w:val="center"/>
              <w:rPr>
                <w:rFonts w:ascii="Century Gothic" w:hAnsi="Century Gothic" w:cs="Arial"/>
                <w:b w:val="0"/>
                <w:bCs/>
                <w:color w:val="auto"/>
                <w:sz w:val="20"/>
                <w:szCs w:val="20"/>
              </w:rPr>
            </w:pPr>
            <w:r>
              <w:rPr>
                <w:rFonts w:ascii="Century Gothic" w:hAnsi="Century Gothic" w:cs="Arial"/>
                <w:b/>
                <w:bCs/>
                <w:color w:val="auto"/>
                <w:sz w:val="20"/>
                <w:szCs w:val="20"/>
              </w:rPr>
              <w:t xml:space="preserve">DEFINICIÓN DEL SEGMENTO  </w:t>
            </w:r>
          </w:p>
        </w:tc>
      </w:tr>
      <w:tr w14:paraId="2C102D27">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284" w:hRule="atLeast"/>
        </w:trPr>
        <w:tc>
          <w:tcPr>
            <w:tcW w:w="1017" w:type="pct"/>
            <w:shd w:val="clear" w:color="auto" w:fill="D9E2F3" w:themeFill="accent5" w:themeFillTint="33"/>
          </w:tcPr>
          <w:p w14:paraId="5097FFB6">
            <w:pPr>
              <w:jc w:val="center"/>
              <w:rPr>
                <w:rFonts w:ascii="Century Gothic" w:hAnsi="Century Gothic" w:cs="Arial"/>
                <w:b w:val="0"/>
                <w:bCs/>
                <w:color w:val="auto"/>
                <w:sz w:val="20"/>
                <w:szCs w:val="20"/>
              </w:rPr>
            </w:pPr>
            <w:r>
              <w:rPr>
                <w:rFonts w:ascii="Century Gothic" w:hAnsi="Century Gothic" w:cs="Arial"/>
                <w:b w:val="0"/>
                <w:bCs/>
                <w:color w:val="auto"/>
                <w:sz w:val="20"/>
                <w:szCs w:val="20"/>
              </w:rPr>
              <w:t>Zona de Alto Riesgo</w:t>
            </w:r>
          </w:p>
        </w:tc>
        <w:tc>
          <w:tcPr>
            <w:tcW w:w="3983" w:type="pct"/>
            <w:shd w:val="clear" w:color="auto" w:fill="D9E2F3" w:themeFill="accent5" w:themeFillTint="33"/>
          </w:tcPr>
          <w:p w14:paraId="7239BCE2">
            <w:pPr>
              <w:rPr>
                <w:rFonts w:ascii="Century Gothic" w:hAnsi="Century Gothic" w:cs="Arial"/>
                <w:color w:val="auto"/>
                <w:sz w:val="20"/>
                <w:szCs w:val="20"/>
              </w:rPr>
            </w:pPr>
            <w:r>
              <w:rPr>
                <w:rFonts w:ascii="Century Gothic" w:hAnsi="Century Gothic" w:cs="Arial"/>
                <w:color w:val="auto"/>
                <w:sz w:val="20"/>
                <w:szCs w:val="20"/>
              </w:rPr>
              <w:t>Jurisdicción considerada por la Entidad con vulnerabilidad alta en materia de LAFT.</w:t>
            </w:r>
          </w:p>
        </w:tc>
      </w:tr>
      <w:tr w14:paraId="456F50B8">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284" w:hRule="atLeast"/>
        </w:trPr>
        <w:tc>
          <w:tcPr>
            <w:tcW w:w="1017" w:type="pct"/>
          </w:tcPr>
          <w:p w14:paraId="03A0FF2C">
            <w:pPr>
              <w:jc w:val="center"/>
              <w:rPr>
                <w:rFonts w:ascii="Century Gothic" w:hAnsi="Century Gothic" w:cs="Arial"/>
                <w:b w:val="0"/>
                <w:bCs/>
                <w:color w:val="auto"/>
                <w:sz w:val="20"/>
                <w:szCs w:val="20"/>
              </w:rPr>
            </w:pPr>
            <w:r>
              <w:rPr>
                <w:rFonts w:ascii="Century Gothic" w:hAnsi="Century Gothic" w:cs="Arial"/>
                <w:b w:val="0"/>
                <w:bCs/>
                <w:color w:val="auto"/>
                <w:sz w:val="20"/>
                <w:szCs w:val="20"/>
              </w:rPr>
              <w:t>Zona de Riesgo Medio</w:t>
            </w:r>
          </w:p>
        </w:tc>
        <w:tc>
          <w:tcPr>
            <w:tcW w:w="3983" w:type="pct"/>
          </w:tcPr>
          <w:p w14:paraId="5269F1D5">
            <w:pPr>
              <w:rPr>
                <w:rFonts w:ascii="Century Gothic" w:hAnsi="Century Gothic" w:cs="Arial"/>
                <w:color w:val="auto"/>
                <w:sz w:val="20"/>
                <w:szCs w:val="20"/>
                <w:lang w:eastAsia="es-CO"/>
              </w:rPr>
            </w:pPr>
            <w:r>
              <w:rPr>
                <w:rFonts w:ascii="Century Gothic" w:hAnsi="Century Gothic" w:cs="Arial"/>
                <w:color w:val="auto"/>
                <w:sz w:val="20"/>
                <w:szCs w:val="20"/>
              </w:rPr>
              <w:t>Jurisdicción considerada por la Entidad con vulnerabilidad media en materia de LAFT.</w:t>
            </w:r>
          </w:p>
        </w:tc>
      </w:tr>
      <w:tr w14:paraId="4BC752A3">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Ex>
        <w:trPr>
          <w:trHeight w:val="284" w:hRule="atLeast"/>
        </w:trPr>
        <w:tc>
          <w:tcPr>
            <w:tcW w:w="1017" w:type="pct"/>
            <w:shd w:val="clear" w:color="auto" w:fill="D9E2F3" w:themeFill="accent5" w:themeFillTint="33"/>
          </w:tcPr>
          <w:p w14:paraId="5A78829A">
            <w:pPr>
              <w:jc w:val="center"/>
              <w:rPr>
                <w:rFonts w:ascii="Century Gothic" w:hAnsi="Century Gothic" w:cs="Arial"/>
                <w:b w:val="0"/>
                <w:bCs/>
                <w:color w:val="auto"/>
                <w:sz w:val="20"/>
                <w:szCs w:val="20"/>
              </w:rPr>
            </w:pPr>
            <w:r>
              <w:rPr>
                <w:rFonts w:ascii="Century Gothic" w:hAnsi="Century Gothic" w:cs="Arial"/>
                <w:b w:val="0"/>
                <w:bCs/>
                <w:color w:val="auto"/>
                <w:sz w:val="20"/>
                <w:szCs w:val="20"/>
                <w:lang w:eastAsia="es-CO"/>
              </w:rPr>
              <w:t>Zona de Riesgo Bajo</w:t>
            </w:r>
          </w:p>
        </w:tc>
        <w:tc>
          <w:tcPr>
            <w:tcW w:w="3983" w:type="pct"/>
            <w:shd w:val="clear" w:color="auto" w:fill="D9E2F3" w:themeFill="accent5" w:themeFillTint="33"/>
          </w:tcPr>
          <w:p w14:paraId="5C372D07">
            <w:pPr>
              <w:rPr>
                <w:rFonts w:ascii="Century Gothic" w:hAnsi="Century Gothic" w:cs="Arial"/>
                <w:color w:val="auto"/>
                <w:sz w:val="20"/>
                <w:szCs w:val="20"/>
                <w:lang w:eastAsia="es-CO"/>
              </w:rPr>
            </w:pPr>
            <w:r>
              <w:rPr>
                <w:rFonts w:ascii="Century Gothic" w:hAnsi="Century Gothic" w:cs="Arial"/>
                <w:color w:val="auto"/>
                <w:sz w:val="20"/>
                <w:szCs w:val="20"/>
              </w:rPr>
              <w:t>Jurisdicción considerada por la Entidad con vulnerabilidad baja en materia de LAFT.</w:t>
            </w:r>
          </w:p>
        </w:tc>
      </w:tr>
    </w:tbl>
    <w:p w14:paraId="38BA230A">
      <w:pPr>
        <w:rPr>
          <w:rFonts w:ascii="Century Gothic" w:hAnsi="Century Gothic"/>
          <w:sz w:val="22"/>
          <w:szCs w:val="22"/>
          <w:lang w:val="es-ES"/>
        </w:rPr>
      </w:pPr>
    </w:p>
    <w:p w14:paraId="38E600DE">
      <w:pPr>
        <w:rPr>
          <w:rFonts w:ascii="Century Gothic" w:hAnsi="Century Gothic"/>
          <w:sz w:val="22"/>
          <w:szCs w:val="22"/>
          <w:lang w:val="es-ES"/>
        </w:rPr>
      </w:pPr>
    </w:p>
    <w:p w14:paraId="2CF8CE5B">
      <w:pPr>
        <w:pStyle w:val="65"/>
        <w:numPr>
          <w:ilvl w:val="0"/>
          <w:numId w:val="56"/>
        </w:numPr>
        <w:rPr>
          <w:rFonts w:ascii="Century Gothic" w:hAnsi="Century Gothic"/>
          <w:b/>
          <w:sz w:val="22"/>
          <w:szCs w:val="22"/>
        </w:rPr>
      </w:pPr>
      <w:r>
        <w:rPr>
          <w:rFonts w:ascii="Century Gothic" w:hAnsi="Century Gothic"/>
          <w:b/>
          <w:sz w:val="22"/>
          <w:szCs w:val="22"/>
        </w:rPr>
        <w:t>SEGUIMIENTO DE OPERACIONES</w:t>
      </w:r>
    </w:p>
    <w:p w14:paraId="60114C01">
      <w:pPr>
        <w:rPr>
          <w:rFonts w:ascii="Century Gothic" w:hAnsi="Century Gothic"/>
          <w:sz w:val="22"/>
          <w:szCs w:val="22"/>
          <w:lang w:val="es-ES"/>
        </w:rPr>
      </w:pPr>
    </w:p>
    <w:p w14:paraId="129D9F21">
      <w:pPr>
        <w:rPr>
          <w:rFonts w:ascii="Century Gothic" w:hAnsi="Century Gothic" w:cs="Arial" w:eastAsiaTheme="minorHAnsi"/>
          <w:bCs/>
          <w:sz w:val="22"/>
          <w:szCs w:val="22"/>
          <w:lang w:eastAsia="en-US"/>
        </w:rPr>
      </w:pPr>
      <w:r>
        <w:rPr>
          <w:rFonts w:ascii="Century Gothic" w:hAnsi="Century Gothic" w:cs="Arial" w:eastAsiaTheme="minorHAnsi"/>
          <w:bCs/>
          <w:sz w:val="22"/>
          <w:szCs w:val="22"/>
          <w:lang w:eastAsia="en-US"/>
        </w:rPr>
        <w:t>La Entidad realizará seguimiento y monitoreo de  las operaciones que realicen sus asociados, para lo cual se han efectuado los ajustes en la infraestructura tecnológica, procedimientos, formatos, así como también se han definido las señales de alertas, informes de transacciones inusuales, entre otros.</w:t>
      </w:r>
    </w:p>
    <w:p w14:paraId="2B6CB770">
      <w:pPr>
        <w:rPr>
          <w:rFonts w:ascii="Century Gothic" w:hAnsi="Century Gothic"/>
          <w:sz w:val="22"/>
          <w:szCs w:val="22"/>
        </w:rPr>
      </w:pPr>
    </w:p>
    <w:p w14:paraId="04C62087">
      <w:pPr>
        <w:pStyle w:val="65"/>
        <w:numPr>
          <w:ilvl w:val="0"/>
          <w:numId w:val="56"/>
        </w:numPr>
        <w:rPr>
          <w:rFonts w:ascii="Century Gothic" w:hAnsi="Century Gothic"/>
          <w:b/>
          <w:sz w:val="22"/>
          <w:szCs w:val="22"/>
        </w:rPr>
      </w:pPr>
      <w:r>
        <w:rPr>
          <w:rFonts w:ascii="Century Gothic" w:hAnsi="Century Gothic"/>
          <w:b/>
          <w:sz w:val="22"/>
          <w:szCs w:val="22"/>
        </w:rPr>
        <w:t>CONSOLIDACIÓN ELECTRÓNICA DE OPERACIONES</w:t>
      </w:r>
    </w:p>
    <w:p w14:paraId="3FDA908B">
      <w:pPr>
        <w:rPr>
          <w:rFonts w:ascii="Century Gothic" w:hAnsi="Century Gothic"/>
          <w:sz w:val="22"/>
          <w:szCs w:val="22"/>
          <w:lang w:val="es-ES"/>
        </w:rPr>
      </w:pPr>
    </w:p>
    <w:p w14:paraId="3EE7F27F">
      <w:pPr>
        <w:autoSpaceDE w:val="0"/>
        <w:autoSpaceDN w:val="0"/>
        <w:adjustRightInd w:val="0"/>
        <w:rPr>
          <w:rFonts w:ascii="Century Gothic" w:hAnsi="Century Gothic" w:cs="Arial" w:eastAsiaTheme="minorHAnsi"/>
          <w:bCs/>
          <w:sz w:val="22"/>
          <w:szCs w:val="22"/>
          <w:lang w:eastAsia="en-US"/>
        </w:rPr>
      </w:pPr>
      <w:r>
        <w:rPr>
          <w:rFonts w:ascii="Century Gothic" w:hAnsi="Century Gothic" w:cs="Arial" w:eastAsiaTheme="minorHAnsi"/>
          <w:bCs/>
          <w:sz w:val="22"/>
          <w:szCs w:val="22"/>
          <w:lang w:eastAsia="en-US"/>
        </w:rPr>
        <w:t>Periódicamente, el Oficial de Cumplimiento con la información generada en el aplicativo deberá elaborar los análisis de la consolidación de las operaciones por cliente y factores de riesgo de acuerdo con la segmentación efectuada por la Entidad, con el fin de determinar si se presentaron operaciones inusuales o sospechosas en los términos previstos y seguir los procedimientos establecidos.</w:t>
      </w:r>
    </w:p>
    <w:p w14:paraId="2D671494">
      <w:pPr>
        <w:autoSpaceDE w:val="0"/>
        <w:autoSpaceDN w:val="0"/>
        <w:adjustRightInd w:val="0"/>
        <w:rPr>
          <w:rFonts w:ascii="Century Gothic" w:hAnsi="Century Gothic" w:cs="Arial"/>
          <w:sz w:val="22"/>
          <w:szCs w:val="22"/>
          <w:lang w:eastAsia="es-CO"/>
        </w:rPr>
      </w:pPr>
    </w:p>
    <w:p w14:paraId="668D4DC7">
      <w:pPr>
        <w:autoSpaceDE w:val="0"/>
        <w:autoSpaceDN w:val="0"/>
        <w:adjustRightInd w:val="0"/>
        <w:rPr>
          <w:rFonts w:ascii="Century Gothic" w:hAnsi="Century Gothic" w:cs="Arial"/>
          <w:sz w:val="22"/>
          <w:szCs w:val="22"/>
          <w:lang w:eastAsia="es-CO"/>
        </w:rPr>
      </w:pPr>
    </w:p>
    <w:p w14:paraId="55EDA73B">
      <w:pPr>
        <w:pStyle w:val="65"/>
        <w:numPr>
          <w:ilvl w:val="2"/>
          <w:numId w:val="8"/>
        </w:numPr>
        <w:autoSpaceDE w:val="0"/>
        <w:autoSpaceDN w:val="0"/>
        <w:adjustRightInd w:val="0"/>
        <w:rPr>
          <w:rFonts w:ascii="Century Gothic" w:hAnsi="Century Gothic" w:cs="Arial"/>
          <w:b/>
          <w:sz w:val="22"/>
          <w:szCs w:val="22"/>
          <w:lang w:eastAsia="es-CO"/>
        </w:rPr>
      </w:pPr>
      <w:r>
        <w:rPr>
          <w:rFonts w:ascii="Century Gothic" w:hAnsi="Century Gothic" w:cs="Arial"/>
          <w:b/>
          <w:sz w:val="22"/>
          <w:szCs w:val="22"/>
          <w:lang w:eastAsia="es-CO"/>
        </w:rPr>
        <w:t xml:space="preserve"> DOCUMENTACIÓN</w:t>
      </w:r>
    </w:p>
    <w:p w14:paraId="19355768">
      <w:pPr>
        <w:autoSpaceDE w:val="0"/>
        <w:autoSpaceDN w:val="0"/>
        <w:adjustRightInd w:val="0"/>
        <w:rPr>
          <w:rFonts w:ascii="Century Gothic" w:hAnsi="Century Gothic" w:cs="Arial"/>
          <w:b/>
          <w:sz w:val="22"/>
          <w:szCs w:val="22"/>
          <w:lang w:eastAsia="es-CO"/>
        </w:rPr>
      </w:pPr>
    </w:p>
    <w:p w14:paraId="666A2231">
      <w:pPr>
        <w:autoSpaceDE w:val="0"/>
        <w:autoSpaceDN w:val="0"/>
        <w:adjustRightInd w:val="0"/>
        <w:rPr>
          <w:rFonts w:ascii="Century Gothic" w:hAnsi="Century Gothic" w:cs="Arial"/>
          <w:sz w:val="22"/>
          <w:szCs w:val="22"/>
          <w:lang w:eastAsia="es-CO"/>
        </w:rPr>
      </w:pPr>
      <w:r>
        <w:rPr>
          <w:rFonts w:ascii="Century Gothic" w:hAnsi="Century Gothic" w:cs="ITC Franklin Gothic Std Book"/>
          <w:color w:val="000000"/>
          <w:sz w:val="22"/>
          <w:szCs w:val="22"/>
        </w:rPr>
        <w:t>Abarca los procedimientos que la Entidad establecerá para el archivo y conservación de los do</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cumentos que hayan servido para la implementación de los elemen</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tos del SARLAFT, garantizando la Integridad, oportunidad, confiabilidad y disponibilidad de la información allí contenida.</w:t>
      </w:r>
    </w:p>
    <w:p w14:paraId="10AE8E91">
      <w:pPr>
        <w:autoSpaceDE w:val="0"/>
        <w:autoSpaceDN w:val="0"/>
        <w:adjustRightInd w:val="0"/>
        <w:rPr>
          <w:rFonts w:ascii="Century Gothic" w:hAnsi="Century Gothic" w:cs="Arial"/>
          <w:sz w:val="22"/>
          <w:szCs w:val="22"/>
          <w:lang w:eastAsia="es-CO"/>
        </w:rPr>
      </w:pPr>
    </w:p>
    <w:p w14:paraId="139FFF36">
      <w:p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El tratamiento de la documentación y registros que se generen por la implementación y ejecución del SARLAFT deberá ajustarse a las prescripciones legales contenidas en la Ley Estatutaria 1581 de 2012, y demás normas concordantes y complementarias, en lo que guarda relación con la protección de datos personales.</w:t>
      </w:r>
    </w:p>
    <w:p w14:paraId="4F7A4DB6">
      <w:pPr>
        <w:pStyle w:val="4"/>
        <w:numPr>
          <w:ilvl w:val="3"/>
          <w:numId w:val="8"/>
        </w:numPr>
        <w:rPr>
          <w:rFonts w:ascii="Century Gothic" w:hAnsi="Century Gothic"/>
          <w:sz w:val="22"/>
          <w:szCs w:val="22"/>
        </w:rPr>
      </w:pPr>
      <w:r>
        <w:rPr>
          <w:rFonts w:ascii="Century Gothic" w:hAnsi="Century Gothic"/>
          <w:sz w:val="22"/>
          <w:szCs w:val="22"/>
        </w:rPr>
        <w:t>RESERVA DE INFORMACIÓN</w:t>
      </w:r>
    </w:p>
    <w:p w14:paraId="22041B0E"/>
    <w:p w14:paraId="128EBD0F">
      <w:pPr>
        <w:rPr>
          <w:rFonts w:ascii="Century Gothic" w:hAnsi="Century Gothic" w:cs="Arial"/>
          <w:sz w:val="22"/>
          <w:szCs w:val="22"/>
        </w:rPr>
      </w:pPr>
      <w:r>
        <w:rPr>
          <w:rFonts w:ascii="Century Gothic" w:hAnsi="Century Gothic" w:cs="Arial"/>
          <w:sz w:val="22"/>
          <w:szCs w:val="22"/>
        </w:rPr>
        <w:t>Corresponde al deber legal que tiene tanto la Entidad como sus empleados de guardar reserva, secreto y discreción sobre la información de sus asociados/clientes, empleados, miembros de los órganos de administración y control y relacionados contractuales (saldos, cuentas, transacciones, negocios, ingresos, patrimonio, bienes declarados, entre otros) o sobre aquellos datos relacionados con la situación propia de la persona o empresa, que conozcan en desarrollo de su profesión u oficio.</w:t>
      </w:r>
    </w:p>
    <w:p w14:paraId="08F79B2E">
      <w:pPr>
        <w:rPr>
          <w:rFonts w:ascii="Century Gothic" w:hAnsi="Century Gothic" w:cs="Arial"/>
          <w:sz w:val="22"/>
          <w:szCs w:val="22"/>
        </w:rPr>
      </w:pPr>
    </w:p>
    <w:p w14:paraId="566ED00C">
      <w:pPr>
        <w:rPr>
          <w:rFonts w:ascii="Century Gothic" w:hAnsi="Century Gothic" w:cs="Arial"/>
          <w:sz w:val="22"/>
          <w:szCs w:val="22"/>
        </w:rPr>
      </w:pPr>
      <w:r>
        <w:rPr>
          <w:rFonts w:ascii="Century Gothic" w:hAnsi="Century Gothic" w:cs="Arial"/>
          <w:sz w:val="22"/>
          <w:szCs w:val="22"/>
        </w:rPr>
        <w:t xml:space="preserve">Esta obligación comprende tanto los datos que suministre directamente los asociados/clientes, empleados, miembros de los órganos de administración y control y relacionados contractuales, como aquellos que configuren la relación comercial entre él y la Entidad y debe cumplirse durante la vigencia del vínculo comercial y </w:t>
      </w:r>
      <w:bookmarkStart w:id="94" w:name="_Toc200267655"/>
      <w:bookmarkStart w:id="95" w:name="_Toc200269522"/>
      <w:bookmarkStart w:id="96" w:name="_Toc200248632"/>
      <w:bookmarkStart w:id="97" w:name="_Toc198960334"/>
      <w:bookmarkStart w:id="98" w:name="_Toc198960521"/>
      <w:bookmarkStart w:id="99" w:name="_Toc200269613"/>
      <w:bookmarkStart w:id="100" w:name="_Toc200248569"/>
      <w:bookmarkStart w:id="101" w:name="_Toc200245624"/>
      <w:bookmarkStart w:id="102" w:name="_Toc199755883"/>
      <w:bookmarkStart w:id="103" w:name="_Toc200267789"/>
      <w:bookmarkStart w:id="104" w:name="_Toc200269430"/>
      <w:bookmarkStart w:id="105" w:name="_Toc200268027"/>
      <w:bookmarkStart w:id="106" w:name="_Toc185128888"/>
      <w:bookmarkStart w:id="107" w:name="_Toc200268068"/>
      <w:bookmarkStart w:id="108" w:name="_Toc185934816"/>
      <w:bookmarkStart w:id="109" w:name="_Toc199756064"/>
      <w:bookmarkStart w:id="110" w:name="_Toc198960240"/>
      <w:bookmarkStart w:id="111" w:name="_Toc198960078"/>
      <w:bookmarkStart w:id="112" w:name="_Toc200268408"/>
      <w:bookmarkStart w:id="113" w:name="_Toc200267738"/>
      <w:bookmarkStart w:id="114" w:name="_Toc200268109"/>
      <w:bookmarkStart w:id="115" w:name="_Toc199755974"/>
      <w:bookmarkStart w:id="116" w:name="_Toc200268598"/>
      <w:bookmarkStart w:id="117" w:name="_Toc200269695"/>
      <w:r>
        <w:rPr>
          <w:rFonts w:ascii="Century Gothic" w:hAnsi="Century Gothic" w:cs="Arial"/>
          <w:sz w:val="22"/>
          <w:szCs w:val="22"/>
        </w:rPr>
        <w:t>aun cuando éste haya terminado.</w:t>
      </w:r>
    </w:p>
    <w:p w14:paraId="274E652E">
      <w:pPr>
        <w:rPr>
          <w:rFonts w:ascii="Century Gothic" w:hAnsi="Century Gothic" w:cs="Arial"/>
          <w:sz w:val="22"/>
          <w:szCs w:val="22"/>
        </w:rPr>
      </w:pPr>
    </w:p>
    <w:p w14:paraId="74304D33">
      <w:pPr>
        <w:pStyle w:val="4"/>
        <w:numPr>
          <w:ilvl w:val="3"/>
          <w:numId w:val="8"/>
        </w:numPr>
        <w:rPr>
          <w:rFonts w:ascii="Century Gothic" w:hAnsi="Century Gothic"/>
          <w:sz w:val="22"/>
          <w:szCs w:val="22"/>
        </w:rPr>
      </w:pPr>
      <w:bookmarkStart w:id="118" w:name="_Toc487230434"/>
      <w:r>
        <w:rPr>
          <w:rFonts w:ascii="Century Gothic" w:hAnsi="Century Gothic"/>
          <w:sz w:val="22"/>
          <w:szCs w:val="22"/>
        </w:rPr>
        <w:t>CONSERVACIÓN DE DOCUMENTOS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7C0E8C7E"/>
    <w:p w14:paraId="5530BE6D">
      <w:pPr>
        <w:rPr>
          <w:rFonts w:ascii="Century Gothic" w:hAnsi="Century Gothic" w:cs="Arial"/>
          <w:sz w:val="22"/>
          <w:szCs w:val="22"/>
        </w:rPr>
      </w:pPr>
      <w:bookmarkStart w:id="119" w:name="_Toc184531693"/>
      <w:bookmarkStart w:id="120" w:name="_Toc184531898"/>
      <w:r>
        <w:rPr>
          <w:rFonts w:ascii="Century Gothic" w:hAnsi="Century Gothic" w:cs="Arial"/>
          <w:sz w:val="22"/>
          <w:szCs w:val="22"/>
        </w:rPr>
        <w:t>Con el propósito de garantizar un mayor grado de colaboración con las autoridades, la Entidad debe conservar los documentos y registros relativos al cumplimiento de las normas sobre Prevención y Control del Lavado de Activos y Financiación del Terrorismo por un término mínimo de 5 años, según lo establecido en el artículo 96 del EOSF, modificado por el artículo 22 de la ley 795 de 2003, contados a partir de la fecha de su expedición.</w:t>
      </w:r>
      <w:bookmarkEnd w:id="119"/>
      <w:bookmarkEnd w:id="120"/>
      <w:r>
        <w:rPr>
          <w:rFonts w:ascii="Century Gothic" w:hAnsi="Century Gothic" w:cs="Arial"/>
          <w:sz w:val="22"/>
          <w:szCs w:val="22"/>
        </w:rPr>
        <w:t xml:space="preserve"> </w:t>
      </w:r>
    </w:p>
    <w:p w14:paraId="4A0630CA">
      <w:pPr>
        <w:pStyle w:val="65"/>
        <w:ind w:left="360"/>
        <w:rPr>
          <w:rFonts w:ascii="Century Gothic" w:hAnsi="Century Gothic" w:cs="Arial"/>
          <w:sz w:val="22"/>
          <w:szCs w:val="22"/>
        </w:rPr>
      </w:pPr>
    </w:p>
    <w:p w14:paraId="6A8AA360">
      <w:pPr>
        <w:rPr>
          <w:rFonts w:ascii="Century Gothic" w:hAnsi="Century Gothic" w:cs="Arial"/>
          <w:sz w:val="22"/>
          <w:szCs w:val="22"/>
        </w:rPr>
      </w:pPr>
      <w:bookmarkStart w:id="121" w:name="_Toc184531694"/>
      <w:bookmarkStart w:id="122" w:name="_Toc184531899"/>
      <w:r>
        <w:rPr>
          <w:rFonts w:ascii="Century Gothic" w:hAnsi="Century Gothic" w:cs="Arial"/>
          <w:sz w:val="22"/>
          <w:szCs w:val="22"/>
        </w:rPr>
        <w:t>Vencido este término pueden ser destruidos, siempre que se cumplan las siguientes condiciones:</w:t>
      </w:r>
      <w:bookmarkEnd w:id="121"/>
      <w:bookmarkEnd w:id="122"/>
    </w:p>
    <w:p w14:paraId="63AA8C97">
      <w:pPr>
        <w:rPr>
          <w:rFonts w:ascii="Century Gothic" w:hAnsi="Century Gothic" w:cs="Arial"/>
          <w:sz w:val="22"/>
          <w:szCs w:val="22"/>
        </w:rPr>
      </w:pPr>
    </w:p>
    <w:p w14:paraId="20E05A38">
      <w:pPr>
        <w:pStyle w:val="65"/>
        <w:numPr>
          <w:ilvl w:val="0"/>
          <w:numId w:val="62"/>
        </w:numPr>
        <w:spacing w:after="160" w:line="259" w:lineRule="auto"/>
        <w:contextualSpacing/>
        <w:rPr>
          <w:rFonts w:ascii="Century Gothic" w:hAnsi="Century Gothic" w:cs="Arial"/>
          <w:sz w:val="22"/>
          <w:szCs w:val="22"/>
        </w:rPr>
      </w:pPr>
      <w:bookmarkStart w:id="123" w:name="_Toc184531695"/>
      <w:bookmarkStart w:id="124" w:name="_Toc184531900"/>
      <w:r>
        <w:rPr>
          <w:rFonts w:ascii="Century Gothic" w:hAnsi="Century Gothic" w:cs="Arial"/>
          <w:sz w:val="22"/>
          <w:szCs w:val="22"/>
        </w:rPr>
        <w:t>Que no medie solicitud de entrega de los mismos formulada por autoridad competente.</w:t>
      </w:r>
      <w:bookmarkEnd w:id="123"/>
      <w:bookmarkEnd w:id="124"/>
    </w:p>
    <w:p w14:paraId="59F1D642">
      <w:pPr>
        <w:pStyle w:val="65"/>
        <w:numPr>
          <w:ilvl w:val="0"/>
          <w:numId w:val="62"/>
        </w:numPr>
        <w:spacing w:after="160" w:line="259" w:lineRule="auto"/>
        <w:contextualSpacing/>
        <w:rPr>
          <w:rFonts w:ascii="Century Gothic" w:hAnsi="Century Gothic" w:cs="Arial"/>
          <w:sz w:val="22"/>
          <w:szCs w:val="22"/>
        </w:rPr>
      </w:pPr>
      <w:bookmarkStart w:id="125" w:name="_Toc184531901"/>
      <w:bookmarkStart w:id="126" w:name="_Toc184531696"/>
      <w:r>
        <w:rPr>
          <w:rFonts w:ascii="Century Gothic" w:hAnsi="Century Gothic" w:cs="Arial"/>
          <w:sz w:val="22"/>
          <w:szCs w:val="22"/>
        </w:rPr>
        <w:t xml:space="preserve">Que se conserven en un medio técnico que garantice su posterior reproducción exacta y la preservación de su valor probatorio, conforme lo previsto en los decretos </w:t>
      </w:r>
      <w:bookmarkEnd w:id="125"/>
      <w:bookmarkEnd w:id="126"/>
      <w:r>
        <w:rPr>
          <w:rFonts w:ascii="Century Gothic" w:hAnsi="Century Gothic" w:cs="Arial"/>
          <w:sz w:val="22"/>
          <w:szCs w:val="22"/>
        </w:rPr>
        <w:t xml:space="preserve">números 2620 de 1993 y en el artículo 12 de la Ley 527 de 1999 y demás normas que los complementen o adicionen. </w:t>
      </w:r>
    </w:p>
    <w:p w14:paraId="2DB5797F">
      <w:pPr>
        <w:pStyle w:val="65"/>
        <w:numPr>
          <w:ilvl w:val="0"/>
          <w:numId w:val="62"/>
        </w:numPr>
        <w:spacing w:after="160" w:line="259" w:lineRule="auto"/>
        <w:contextualSpacing/>
        <w:rPr>
          <w:rFonts w:ascii="Century Gothic" w:hAnsi="Century Gothic" w:cs="Arial"/>
          <w:sz w:val="22"/>
          <w:szCs w:val="22"/>
        </w:rPr>
      </w:pPr>
      <w:r>
        <w:rPr>
          <w:rFonts w:ascii="Century Gothic" w:hAnsi="Century Gothic" w:cs="Arial"/>
          <w:sz w:val="22"/>
          <w:szCs w:val="22"/>
        </w:rPr>
        <w:t>En los casos de fusión e incorporación, la entidad absorbente debe garantizar la continuidad en el estricto cumplimiento de esta disposición.</w:t>
      </w:r>
    </w:p>
    <w:p w14:paraId="2602B69C">
      <w:pPr>
        <w:pStyle w:val="65"/>
        <w:numPr>
          <w:ilvl w:val="0"/>
          <w:numId w:val="62"/>
        </w:numPr>
        <w:spacing w:after="160" w:line="259" w:lineRule="auto"/>
        <w:contextualSpacing/>
        <w:rPr>
          <w:rFonts w:ascii="Century Gothic" w:hAnsi="Century Gothic" w:cs="Arial"/>
          <w:sz w:val="22"/>
          <w:szCs w:val="22"/>
        </w:rPr>
      </w:pPr>
      <w:r>
        <w:rPr>
          <w:rFonts w:ascii="Century Gothic" w:hAnsi="Century Gothic" w:cs="Arial"/>
          <w:sz w:val="22"/>
          <w:szCs w:val="22"/>
        </w:rPr>
        <w:t>En caso de liquidación corresponde al liquidador adoptar las medidas necesarias para garantizar el archivo y protección de estos documentos, de acuerdo con lo señalado en el artículo 60 del Decreto 2211 de 2004 y el parágrafo del artículo 22 de la Ley 795 de 2003.</w:t>
      </w:r>
    </w:p>
    <w:p w14:paraId="51243E5C">
      <w:pPr>
        <w:pStyle w:val="65"/>
        <w:rPr>
          <w:rFonts w:ascii="Century Gothic" w:hAnsi="Century Gothic" w:cs="Arial"/>
          <w:sz w:val="22"/>
          <w:szCs w:val="22"/>
        </w:rPr>
      </w:pPr>
    </w:p>
    <w:p w14:paraId="76793865">
      <w:pPr>
        <w:autoSpaceDE w:val="0"/>
        <w:autoSpaceDN w:val="0"/>
        <w:adjustRightInd w:val="0"/>
        <w:rPr>
          <w:rFonts w:ascii="Century Gothic" w:hAnsi="Century Gothic" w:cs="Arial" w:eastAsiaTheme="minorHAnsi"/>
          <w:sz w:val="22"/>
          <w:szCs w:val="22"/>
          <w:lang w:eastAsia="en-US"/>
        </w:rPr>
      </w:pPr>
      <w:bookmarkStart w:id="127" w:name="_Toc184531697"/>
      <w:bookmarkStart w:id="128" w:name="_Toc184531902"/>
      <w:r>
        <w:rPr>
          <w:rFonts w:ascii="Century Gothic" w:hAnsi="Century Gothic" w:cs="Arial" w:eastAsiaTheme="minorHAnsi"/>
          <w:sz w:val="22"/>
          <w:szCs w:val="22"/>
          <w:lang w:eastAsia="en-US"/>
        </w:rPr>
        <w:t>Los documentos relacionados con LA/FT deberán permanecer en forma centralizada con las debidas medidas de seguridad bajo custodia y responsabilidad del Oficial de Cumplimiento:</w:t>
      </w:r>
    </w:p>
    <w:p w14:paraId="237566E4">
      <w:pPr>
        <w:pStyle w:val="65"/>
        <w:ind w:left="360"/>
        <w:rPr>
          <w:rFonts w:ascii="Century Gothic" w:hAnsi="Century Gothic" w:cs="Arial"/>
          <w:sz w:val="22"/>
          <w:szCs w:val="22"/>
        </w:rPr>
      </w:pPr>
    </w:p>
    <w:p w14:paraId="69F8F764">
      <w:pPr>
        <w:pStyle w:val="65"/>
        <w:numPr>
          <w:ilvl w:val="0"/>
          <w:numId w:val="63"/>
        </w:numPr>
        <w:autoSpaceDE w:val="0"/>
        <w:autoSpaceDN w:val="0"/>
        <w:adjustRightInd w:val="0"/>
        <w:rPr>
          <w:rFonts w:ascii="Century Gothic" w:hAnsi="Century Gothic" w:cs="Arial" w:eastAsiaTheme="minorHAnsi"/>
          <w:sz w:val="22"/>
          <w:szCs w:val="22"/>
          <w:lang w:val="es-CO" w:eastAsia="en-US"/>
        </w:rPr>
      </w:pPr>
      <w:r>
        <w:rPr>
          <w:rFonts w:ascii="Century Gothic" w:hAnsi="Century Gothic" w:cs="Arial" w:eastAsiaTheme="minorHAnsi"/>
          <w:sz w:val="22"/>
          <w:szCs w:val="22"/>
          <w:lang w:val="es-CO" w:eastAsia="en-US"/>
        </w:rPr>
        <w:t>Los documentos deberán estar a disposición de las autoridades competentes y los funcionarios y directivos que tienen relación con el SARLAFT, de manera permanente y actualizada Conservación en papel o cualquier medio técnico, magnético o electrónico que garantice su reproducción exacta.</w:t>
      </w:r>
    </w:p>
    <w:p w14:paraId="0F37AADF">
      <w:pPr>
        <w:pStyle w:val="65"/>
        <w:numPr>
          <w:ilvl w:val="0"/>
          <w:numId w:val="63"/>
        </w:numPr>
        <w:autoSpaceDE w:val="0"/>
        <w:autoSpaceDN w:val="0"/>
        <w:adjustRightInd w:val="0"/>
        <w:rPr>
          <w:rFonts w:ascii="Century Gothic" w:hAnsi="Century Gothic" w:cs="Arial" w:eastAsiaTheme="minorHAnsi"/>
          <w:sz w:val="22"/>
          <w:szCs w:val="22"/>
          <w:lang w:val="es-CO" w:eastAsia="en-US"/>
        </w:rPr>
      </w:pPr>
      <w:r>
        <w:rPr>
          <w:rFonts w:ascii="Century Gothic" w:hAnsi="Century Gothic" w:cs="Arial" w:eastAsiaTheme="minorHAnsi"/>
          <w:sz w:val="22"/>
          <w:szCs w:val="22"/>
          <w:lang w:val="es-CO" w:eastAsia="en-US"/>
        </w:rPr>
        <w:t>El tratamiento de la documentación y registros será acorde con los principios rectores enunciados en la ley 1581 de 2012.</w:t>
      </w:r>
    </w:p>
    <w:p w14:paraId="65A2E3EF">
      <w:pPr>
        <w:pStyle w:val="65"/>
        <w:numPr>
          <w:ilvl w:val="0"/>
          <w:numId w:val="63"/>
        </w:numPr>
        <w:rPr>
          <w:rFonts w:ascii="Century Gothic" w:hAnsi="Century Gothic" w:cs="Arial"/>
          <w:sz w:val="22"/>
          <w:szCs w:val="22"/>
        </w:rPr>
      </w:pPr>
      <w:r>
        <w:rPr>
          <w:rFonts w:ascii="Century Gothic" w:hAnsi="Century Gothic" w:cs="Arial"/>
          <w:sz w:val="22"/>
          <w:szCs w:val="22"/>
        </w:rPr>
        <w:t>Respecto de los documentos que soportan la decisión de determinar una operación como sospechosa, la Entidad dispondrá la conservación centralizada, secuencial y cronológica de tales documentos con las debidas seguridades, junto con el respectivo reporte a la Unidad de Información y Análisis Financiero –UIAF, con el propósito de hacerlos llegar en forma completa y oportuna a las autoridades cuando éstas los soliciten.</w:t>
      </w:r>
      <w:bookmarkEnd w:id="127"/>
      <w:bookmarkEnd w:id="128"/>
      <w:bookmarkStart w:id="129" w:name="_Toc184531698"/>
      <w:bookmarkStart w:id="130" w:name="_Toc184531903"/>
    </w:p>
    <w:p w14:paraId="350F2722">
      <w:pPr>
        <w:pStyle w:val="65"/>
        <w:numPr>
          <w:ilvl w:val="0"/>
          <w:numId w:val="63"/>
        </w:numPr>
        <w:rPr>
          <w:rFonts w:ascii="Century Gothic" w:hAnsi="Century Gothic" w:cs="Arial"/>
          <w:sz w:val="22"/>
          <w:szCs w:val="22"/>
        </w:rPr>
      </w:pPr>
      <w:r>
        <w:rPr>
          <w:rFonts w:ascii="Century Gothic" w:hAnsi="Century Gothic" w:cs="Arial"/>
          <w:sz w:val="22"/>
          <w:szCs w:val="22"/>
        </w:rPr>
        <w:t xml:space="preserve">En cuanto a los formularios establecidos por la Entidad para el reporte de las transacciones en efectivo sujetas a control, de conformidad con lo previsto en el numeral 1 del artículo 103 del Estatuto Orgánico del Sistema Financiero, se deben conservar debidamente organizados por orden alfabético y cronológico a disposición de las autoridades competentes.  </w:t>
      </w:r>
      <w:bookmarkEnd w:id="129"/>
      <w:bookmarkEnd w:id="130"/>
      <w:bookmarkStart w:id="131" w:name="_Toc184531699"/>
      <w:bookmarkStart w:id="132" w:name="_Toc184531904"/>
    </w:p>
    <w:p w14:paraId="215D1EFE">
      <w:pPr>
        <w:pStyle w:val="65"/>
        <w:numPr>
          <w:ilvl w:val="0"/>
          <w:numId w:val="63"/>
        </w:numPr>
        <w:rPr>
          <w:rFonts w:ascii="Century Gothic" w:hAnsi="Century Gothic" w:cs="Arial" w:eastAsiaTheme="minorHAnsi"/>
          <w:sz w:val="22"/>
          <w:szCs w:val="22"/>
          <w:lang w:eastAsia="en-US"/>
        </w:rPr>
      </w:pPr>
      <w:r>
        <w:rPr>
          <w:rFonts w:ascii="Century Gothic" w:hAnsi="Century Gothic" w:cs="Arial" w:eastAsiaTheme="minorHAnsi"/>
          <w:sz w:val="22"/>
          <w:szCs w:val="22"/>
          <w:lang w:eastAsia="en-US"/>
        </w:rPr>
        <w:t>Los formatos de vinculación y/o actualización que se archiven deben ser los originales, la documentación soporte de los formatos de vinculación y/o actualización  pueden ser fotocopias u originales en caso que se requieran, bajo ninguna circunstancia se aceptan documento en papel fax. Dichos formatos se archivarán de acuerdo con la reglamentación interna que expida la Entidad.</w:t>
      </w:r>
    </w:p>
    <w:p w14:paraId="0C7AAF5F">
      <w:pPr>
        <w:pStyle w:val="65"/>
        <w:numPr>
          <w:ilvl w:val="0"/>
          <w:numId w:val="63"/>
        </w:numPr>
        <w:rPr>
          <w:rFonts w:ascii="Century Gothic" w:hAnsi="Century Gothic" w:cs="Arial"/>
          <w:sz w:val="22"/>
          <w:szCs w:val="22"/>
        </w:rPr>
      </w:pPr>
      <w:r>
        <w:rPr>
          <w:rFonts w:ascii="Century Gothic" w:hAnsi="Century Gothic" w:cs="Arial"/>
          <w:sz w:val="22"/>
          <w:szCs w:val="22"/>
        </w:rPr>
        <w:t>Tanto los informes internos como externos deberán ser archivados por el oficial de cumplimiento, sin perjuicio de la información que reposa en las diferentes actas.</w:t>
      </w:r>
      <w:bookmarkEnd w:id="131"/>
      <w:bookmarkEnd w:id="132"/>
    </w:p>
    <w:p w14:paraId="59A692B9">
      <w:pPr>
        <w:rPr>
          <w:rFonts w:ascii="Century Gothic" w:hAnsi="Century Gothic" w:cs="Arial"/>
          <w:sz w:val="22"/>
          <w:szCs w:val="22"/>
        </w:rPr>
      </w:pPr>
    </w:p>
    <w:p w14:paraId="61BA02A8">
      <w:pPr>
        <w:rPr>
          <w:rFonts w:ascii="Century Gothic" w:hAnsi="Century Gothic" w:cs="Arial"/>
          <w:sz w:val="22"/>
          <w:szCs w:val="22"/>
        </w:rPr>
      </w:pPr>
    </w:p>
    <w:p w14:paraId="66579A6C">
      <w:pPr>
        <w:pStyle w:val="65"/>
        <w:numPr>
          <w:ilvl w:val="3"/>
          <w:numId w:val="8"/>
        </w:numPr>
        <w:autoSpaceDE w:val="0"/>
        <w:autoSpaceDN w:val="0"/>
        <w:adjustRightInd w:val="0"/>
        <w:rPr>
          <w:rFonts w:ascii="Century Gothic" w:hAnsi="Century Gothic" w:cs="Arial"/>
          <w:b/>
          <w:sz w:val="22"/>
          <w:szCs w:val="22"/>
          <w:lang w:eastAsia="es-CO"/>
        </w:rPr>
      </w:pPr>
      <w:r>
        <w:rPr>
          <w:rFonts w:ascii="Century Gothic" w:hAnsi="Century Gothic" w:cs="Arial"/>
          <w:b/>
          <w:sz w:val="22"/>
          <w:szCs w:val="22"/>
          <w:lang w:eastAsia="es-CO"/>
        </w:rPr>
        <w:t>LA DOCUMENTACIÓN DEBE CONTENER COMO MÍNIMO LO SIGUIENTE:</w:t>
      </w:r>
    </w:p>
    <w:p w14:paraId="49CC0B8F">
      <w:pPr>
        <w:pStyle w:val="65"/>
        <w:autoSpaceDE w:val="0"/>
        <w:autoSpaceDN w:val="0"/>
        <w:adjustRightInd w:val="0"/>
        <w:ind w:left="360"/>
        <w:rPr>
          <w:rFonts w:ascii="Century Gothic" w:hAnsi="Century Gothic" w:cs="Arial"/>
          <w:b/>
          <w:sz w:val="22"/>
          <w:szCs w:val="22"/>
          <w:lang w:eastAsia="es-CO"/>
        </w:rPr>
      </w:pPr>
    </w:p>
    <w:p w14:paraId="33E43D20">
      <w:pPr>
        <w:pStyle w:val="65"/>
        <w:numPr>
          <w:ilvl w:val="0"/>
          <w:numId w:val="64"/>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Manual de procedimientos del  SARLAFT</w:t>
      </w:r>
    </w:p>
    <w:p w14:paraId="5609B5BD">
      <w:pPr>
        <w:pStyle w:val="65"/>
        <w:numPr>
          <w:ilvl w:val="0"/>
          <w:numId w:val="64"/>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Los documentos y registros que evidencien la operación efectiva del SARLAFT.</w:t>
      </w:r>
    </w:p>
    <w:p w14:paraId="5A9B31F2">
      <w:pPr>
        <w:pStyle w:val="65"/>
        <w:numPr>
          <w:ilvl w:val="0"/>
          <w:numId w:val="64"/>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Los informes de los órganos de administración y control y del oficial de cumplimiento</w:t>
      </w:r>
    </w:p>
    <w:p w14:paraId="39EE1EDD">
      <w:pPr>
        <w:autoSpaceDE w:val="0"/>
        <w:autoSpaceDN w:val="0"/>
        <w:adjustRightInd w:val="0"/>
        <w:rPr>
          <w:rFonts w:ascii="Century Gothic" w:hAnsi="Century Gothic" w:cs="Arial"/>
          <w:sz w:val="22"/>
          <w:szCs w:val="22"/>
          <w:lang w:eastAsia="es-CO"/>
        </w:rPr>
      </w:pPr>
    </w:p>
    <w:p w14:paraId="7F22CCE3">
      <w:pPr>
        <w:pStyle w:val="65"/>
        <w:numPr>
          <w:ilvl w:val="2"/>
          <w:numId w:val="8"/>
        </w:numPr>
        <w:autoSpaceDE w:val="0"/>
        <w:autoSpaceDN w:val="0"/>
        <w:adjustRightInd w:val="0"/>
        <w:rPr>
          <w:rFonts w:ascii="Century Gothic" w:hAnsi="Century Gothic" w:cs="Arial"/>
          <w:b/>
          <w:sz w:val="22"/>
          <w:szCs w:val="22"/>
          <w:lang w:eastAsia="es-CO"/>
        </w:rPr>
      </w:pPr>
      <w:r>
        <w:rPr>
          <w:rFonts w:ascii="Century Gothic" w:hAnsi="Century Gothic" w:cs="Arial"/>
          <w:b/>
          <w:sz w:val="22"/>
          <w:szCs w:val="22"/>
          <w:lang w:eastAsia="es-CO"/>
        </w:rPr>
        <w:t xml:space="preserve"> ESTRUCTURA ORGANIZACIONAL</w:t>
      </w:r>
    </w:p>
    <w:p w14:paraId="751B210A">
      <w:pPr>
        <w:autoSpaceDE w:val="0"/>
        <w:autoSpaceDN w:val="0"/>
        <w:adjustRightInd w:val="0"/>
        <w:rPr>
          <w:rFonts w:ascii="Century Gothic" w:hAnsi="Century Gothic" w:cs="Arial"/>
          <w:b/>
          <w:sz w:val="22"/>
          <w:szCs w:val="22"/>
          <w:lang w:eastAsia="es-CO"/>
        </w:rPr>
      </w:pPr>
    </w:p>
    <w:p w14:paraId="0B282322">
      <w:pPr>
        <w:autoSpaceDE w:val="0"/>
        <w:autoSpaceDN w:val="0"/>
        <w:adjustRightInd w:val="0"/>
        <w:contextualSpacing/>
        <w:rPr>
          <w:rFonts w:ascii="Century Gothic" w:hAnsi="Century Gothic" w:cs="ITC Franklin Gothic Std Book"/>
          <w:color w:val="000000"/>
          <w:sz w:val="22"/>
          <w:szCs w:val="22"/>
        </w:rPr>
      </w:pPr>
      <w:r>
        <w:rPr>
          <w:rFonts w:ascii="Century Gothic" w:hAnsi="Century Gothic" w:cs="ITC Franklin Gothic Std Book"/>
          <w:color w:val="000000"/>
          <w:sz w:val="22"/>
          <w:szCs w:val="22"/>
        </w:rPr>
        <w:t>Comprende las funciones y responsabilidades que la Entidad establecerá y asignará a los diferentes emplea</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dos y órganos (de dirección, administración, control) en relación con el SARLAFT, a fin de garantizar un adecuado funcionamiento del mismo.</w:t>
      </w:r>
    </w:p>
    <w:p w14:paraId="1DD88587">
      <w:pPr>
        <w:contextualSpacing/>
        <w:rPr>
          <w:rFonts w:ascii="Century Gothic" w:hAnsi="Century Gothic" w:cs="Arial"/>
          <w:sz w:val="22"/>
          <w:szCs w:val="22"/>
        </w:rPr>
      </w:pPr>
    </w:p>
    <w:p w14:paraId="16874C09">
      <w:pPr>
        <w:contextualSpacing/>
        <w:rPr>
          <w:rFonts w:ascii="Century Gothic" w:hAnsi="Century Gothic" w:cs="Arial"/>
          <w:sz w:val="22"/>
          <w:szCs w:val="22"/>
        </w:rPr>
      </w:pPr>
      <w:r>
        <w:rPr>
          <w:rFonts w:ascii="Century Gothic" w:hAnsi="Century Gothic" w:cs="Arial"/>
          <w:sz w:val="22"/>
          <w:szCs w:val="22"/>
        </w:rPr>
        <w:t xml:space="preserve">Sin perjuicio de las funciones, responsabilidades y deberes señalados en este documento que competen de forma particular para algunos cargos en la Entidad, relacionados con el control y prevención del LA/FT, es deber de todos los empleados y/o colaboradores de la Organización, independientemente del cargo que desempeñan, velar porque las actividades que desarrollan no comprometan a la Institución en operaciones que permitan el LA/FT. </w:t>
      </w:r>
    </w:p>
    <w:p w14:paraId="5F7CAD64">
      <w:pPr>
        <w:contextualSpacing/>
        <w:rPr>
          <w:rFonts w:ascii="Century Gothic" w:hAnsi="Century Gothic" w:cs="ITC Franklin Gothic Std Book"/>
          <w:color w:val="000000"/>
          <w:sz w:val="22"/>
          <w:szCs w:val="22"/>
        </w:rPr>
      </w:pPr>
    </w:p>
    <w:p w14:paraId="6ABC1AD0">
      <w:pPr>
        <w:contextualSpacing/>
        <w:rPr>
          <w:rFonts w:ascii="Century Gothic" w:hAnsi="Century Gothic" w:cs="ITC Franklin Gothic Std Book"/>
          <w:color w:val="000000"/>
          <w:sz w:val="22"/>
          <w:szCs w:val="22"/>
        </w:rPr>
      </w:pPr>
    </w:p>
    <w:p w14:paraId="4D14B10A">
      <w:pPr>
        <w:pStyle w:val="65"/>
        <w:numPr>
          <w:ilvl w:val="3"/>
          <w:numId w:val="8"/>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FUNCIONES Y RESPONSABILIDADES DE LOS MIEMBROS DEL CONSEJO DE ADMINISTRACIÓN</w:t>
      </w:r>
    </w:p>
    <w:p w14:paraId="2DD8B310">
      <w:pPr>
        <w:autoSpaceDE w:val="0"/>
        <w:autoSpaceDN w:val="0"/>
        <w:adjustRightInd w:val="0"/>
        <w:rPr>
          <w:rFonts w:ascii="Century Gothic" w:hAnsi="Century Gothic" w:cs="Arial"/>
          <w:b/>
          <w:bCs/>
          <w:sz w:val="22"/>
          <w:szCs w:val="22"/>
          <w:lang w:eastAsia="es-CO"/>
        </w:rPr>
      </w:pPr>
    </w:p>
    <w:p w14:paraId="6D5A2BE6">
      <w:p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Además de las funciones propias del cargo, los miembros del Consejo de Administración ejercerán las siguientes funciones relacionadas con SARLAFT:</w:t>
      </w:r>
    </w:p>
    <w:p w14:paraId="37531483">
      <w:pPr>
        <w:autoSpaceDE w:val="0"/>
        <w:autoSpaceDN w:val="0"/>
        <w:adjustRightInd w:val="0"/>
        <w:rPr>
          <w:rFonts w:ascii="Century Gothic" w:hAnsi="Century Gothic" w:cs="Arial"/>
          <w:sz w:val="22"/>
          <w:szCs w:val="22"/>
          <w:lang w:eastAsia="es-CO"/>
        </w:rPr>
      </w:pPr>
    </w:p>
    <w:p w14:paraId="0946A61B">
      <w:pPr>
        <w:pStyle w:val="65"/>
        <w:numPr>
          <w:ilvl w:val="0"/>
          <w:numId w:val="65"/>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Fijar las políticas del SARLAFT.</w:t>
      </w:r>
    </w:p>
    <w:p w14:paraId="765F1C58">
      <w:pPr>
        <w:pStyle w:val="65"/>
        <w:autoSpaceDE w:val="0"/>
        <w:autoSpaceDN w:val="0"/>
        <w:adjustRightInd w:val="0"/>
        <w:ind w:left="720"/>
        <w:rPr>
          <w:rFonts w:ascii="Century Gothic" w:hAnsi="Century Gothic" w:cs="Arial"/>
          <w:sz w:val="22"/>
          <w:szCs w:val="22"/>
          <w:lang w:eastAsia="es-CO"/>
        </w:rPr>
      </w:pPr>
    </w:p>
    <w:p w14:paraId="39CF4133">
      <w:pPr>
        <w:pStyle w:val="65"/>
        <w:numPr>
          <w:ilvl w:val="0"/>
          <w:numId w:val="65"/>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Adoptar el código de ética en relación con el SARLAFT.</w:t>
      </w:r>
    </w:p>
    <w:p w14:paraId="5F050449">
      <w:pPr>
        <w:pStyle w:val="65"/>
        <w:rPr>
          <w:rFonts w:ascii="Century Gothic" w:hAnsi="Century Gothic" w:cs="Arial"/>
          <w:sz w:val="22"/>
          <w:szCs w:val="22"/>
          <w:lang w:eastAsia="es-CO"/>
        </w:rPr>
      </w:pPr>
    </w:p>
    <w:p w14:paraId="5E825EA7">
      <w:pPr>
        <w:pStyle w:val="65"/>
        <w:numPr>
          <w:ilvl w:val="0"/>
          <w:numId w:val="65"/>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Aprobar el manual de procedimientos y sus actualizaciones.</w:t>
      </w:r>
    </w:p>
    <w:p w14:paraId="4A76095B">
      <w:pPr>
        <w:pStyle w:val="65"/>
        <w:rPr>
          <w:rFonts w:ascii="Century Gothic" w:hAnsi="Century Gothic" w:cs="Arial"/>
          <w:sz w:val="22"/>
          <w:szCs w:val="22"/>
          <w:lang w:eastAsia="es-CO"/>
        </w:rPr>
      </w:pPr>
    </w:p>
    <w:p w14:paraId="2D51B5FC">
      <w:pPr>
        <w:pStyle w:val="65"/>
        <w:numPr>
          <w:ilvl w:val="0"/>
          <w:numId w:val="65"/>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Designar al oficial de cumplimiento y su respectivo suplente.</w:t>
      </w:r>
    </w:p>
    <w:p w14:paraId="32BF5ACA">
      <w:pPr>
        <w:pStyle w:val="65"/>
        <w:rPr>
          <w:rFonts w:ascii="Century Gothic" w:hAnsi="Century Gothic" w:cs="Arial"/>
          <w:sz w:val="22"/>
          <w:szCs w:val="22"/>
          <w:lang w:eastAsia="es-CO"/>
        </w:rPr>
      </w:pPr>
    </w:p>
    <w:p w14:paraId="720AD3D7">
      <w:pPr>
        <w:pStyle w:val="65"/>
        <w:numPr>
          <w:ilvl w:val="0"/>
          <w:numId w:val="65"/>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Emitir pronunciamiento sobre los informes presentados por el oficial de cumplimiento, la revisoría fiscal, la auditoría interna (si existiere) y realizar el seguimiento a las observaciones o recomendaciones adoptadas, dejando constancia en las actas.</w:t>
      </w:r>
    </w:p>
    <w:p w14:paraId="246DE4DB">
      <w:pPr>
        <w:pStyle w:val="65"/>
        <w:rPr>
          <w:rFonts w:ascii="Century Gothic" w:hAnsi="Century Gothic" w:cs="Arial"/>
          <w:sz w:val="22"/>
          <w:szCs w:val="22"/>
          <w:lang w:eastAsia="es-CO"/>
        </w:rPr>
      </w:pPr>
    </w:p>
    <w:p w14:paraId="26F161E1">
      <w:pPr>
        <w:pStyle w:val="65"/>
        <w:numPr>
          <w:ilvl w:val="0"/>
          <w:numId w:val="65"/>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Ordenar los recursos técnicos y humanos necesarios para implementar y mantener en funcionamiento el SARLAFT.</w:t>
      </w:r>
    </w:p>
    <w:p w14:paraId="1544B0AF">
      <w:pPr>
        <w:pStyle w:val="65"/>
        <w:rPr>
          <w:rFonts w:ascii="Century Gothic" w:hAnsi="Century Gothic" w:cs="Arial"/>
          <w:sz w:val="22"/>
          <w:szCs w:val="22"/>
          <w:lang w:eastAsia="es-CO"/>
        </w:rPr>
      </w:pPr>
    </w:p>
    <w:p w14:paraId="073AE90B">
      <w:pPr>
        <w:pStyle w:val="65"/>
        <w:numPr>
          <w:ilvl w:val="0"/>
          <w:numId w:val="65"/>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Designar el funcionario o la instancia autorizada para exonerar asociados o clientes del diligenciamiento del formulario individual de transacciones en efectivo, en los casos en los que la Ley permite tal exoneración.</w:t>
      </w:r>
    </w:p>
    <w:p w14:paraId="7A0AF8B3">
      <w:pPr>
        <w:autoSpaceDE w:val="0"/>
        <w:autoSpaceDN w:val="0"/>
        <w:adjustRightInd w:val="0"/>
        <w:rPr>
          <w:rFonts w:ascii="Century Gothic" w:hAnsi="Century Gothic" w:cs="Arial"/>
          <w:sz w:val="22"/>
          <w:szCs w:val="22"/>
          <w:lang w:eastAsia="es-CO"/>
        </w:rPr>
      </w:pPr>
    </w:p>
    <w:p w14:paraId="11F3E397">
      <w:pPr>
        <w:pStyle w:val="65"/>
        <w:numPr>
          <w:ilvl w:val="0"/>
          <w:numId w:val="65"/>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Las demás inherentes al cargo que guarden relación con SARLAFT.</w:t>
      </w:r>
    </w:p>
    <w:p w14:paraId="72D4A715">
      <w:pPr>
        <w:pStyle w:val="65"/>
        <w:rPr>
          <w:rFonts w:ascii="Century Gothic" w:hAnsi="Century Gothic" w:cs="Arial"/>
          <w:sz w:val="22"/>
          <w:szCs w:val="22"/>
          <w:lang w:eastAsia="es-CO"/>
        </w:rPr>
      </w:pPr>
    </w:p>
    <w:p w14:paraId="00DB2986">
      <w:pPr>
        <w:pStyle w:val="65"/>
        <w:autoSpaceDE w:val="0"/>
        <w:autoSpaceDN w:val="0"/>
        <w:adjustRightInd w:val="0"/>
        <w:ind w:left="720"/>
        <w:rPr>
          <w:rFonts w:ascii="Century Gothic" w:hAnsi="Century Gothic" w:cs="Arial"/>
          <w:sz w:val="22"/>
          <w:szCs w:val="22"/>
          <w:lang w:eastAsia="es-CO"/>
        </w:rPr>
      </w:pPr>
    </w:p>
    <w:p w14:paraId="4D5D996B">
      <w:pPr>
        <w:pStyle w:val="65"/>
        <w:autoSpaceDE w:val="0"/>
        <w:autoSpaceDN w:val="0"/>
        <w:adjustRightInd w:val="0"/>
        <w:ind w:left="720"/>
        <w:rPr>
          <w:rFonts w:ascii="Century Gothic" w:hAnsi="Century Gothic" w:cs="Arial"/>
          <w:sz w:val="22"/>
          <w:szCs w:val="22"/>
          <w:lang w:eastAsia="es-CO"/>
        </w:rPr>
      </w:pPr>
    </w:p>
    <w:p w14:paraId="546ED55F">
      <w:pPr>
        <w:pStyle w:val="65"/>
        <w:numPr>
          <w:ilvl w:val="3"/>
          <w:numId w:val="8"/>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FUNCIONES Y RESPONSABILIDADES DEL REPRESENTANTE LEGAL O QUIEN HAGA SUS VECES.</w:t>
      </w:r>
    </w:p>
    <w:p w14:paraId="3AFC7C39">
      <w:pPr>
        <w:autoSpaceDE w:val="0"/>
        <w:autoSpaceDN w:val="0"/>
        <w:adjustRightInd w:val="0"/>
        <w:rPr>
          <w:rFonts w:ascii="Century Gothic" w:hAnsi="Century Gothic" w:cs="Arial"/>
          <w:b/>
          <w:bCs/>
          <w:sz w:val="22"/>
          <w:szCs w:val="22"/>
          <w:lang w:eastAsia="es-CO"/>
        </w:rPr>
      </w:pPr>
    </w:p>
    <w:p w14:paraId="033660F7">
      <w:pPr>
        <w:pStyle w:val="65"/>
        <w:numPr>
          <w:ilvl w:val="0"/>
          <w:numId w:val="66"/>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Ejecutar las políticas y directrices aprobadas por el Consejo de Administración  en lo que se relaciona con el SARLAFT.</w:t>
      </w:r>
    </w:p>
    <w:p w14:paraId="5832976E">
      <w:pPr>
        <w:pStyle w:val="65"/>
        <w:autoSpaceDE w:val="0"/>
        <w:autoSpaceDN w:val="0"/>
        <w:adjustRightInd w:val="0"/>
        <w:ind w:left="720"/>
        <w:rPr>
          <w:rFonts w:ascii="Century Gothic" w:hAnsi="Century Gothic" w:cs="Arial"/>
          <w:sz w:val="22"/>
          <w:szCs w:val="22"/>
          <w:lang w:eastAsia="es-CO"/>
        </w:rPr>
      </w:pPr>
    </w:p>
    <w:p w14:paraId="27E83D8B">
      <w:pPr>
        <w:pStyle w:val="65"/>
        <w:numPr>
          <w:ilvl w:val="0"/>
          <w:numId w:val="66"/>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Someter a aprobación del Consejo de Administración, en coordinación con el oficial de cumplimiento, el manual de procedimientos del SARLAFT y sus actualizaciones.</w:t>
      </w:r>
    </w:p>
    <w:p w14:paraId="138DBB2A">
      <w:pPr>
        <w:autoSpaceDE w:val="0"/>
        <w:autoSpaceDN w:val="0"/>
        <w:adjustRightInd w:val="0"/>
        <w:rPr>
          <w:rFonts w:ascii="Century Gothic" w:hAnsi="Century Gothic" w:cs="Arial"/>
          <w:sz w:val="22"/>
          <w:szCs w:val="22"/>
          <w:lang w:val="es-ES" w:eastAsia="es-CO"/>
        </w:rPr>
      </w:pPr>
    </w:p>
    <w:p w14:paraId="3F52008A">
      <w:pPr>
        <w:pStyle w:val="65"/>
        <w:numPr>
          <w:ilvl w:val="0"/>
          <w:numId w:val="66"/>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Verificar que los procedimientos establecidos desarrollen las políticas aprobadas por el órgano permanente de administración.</w:t>
      </w:r>
    </w:p>
    <w:p w14:paraId="47EB9682">
      <w:pPr>
        <w:pStyle w:val="65"/>
        <w:rPr>
          <w:rFonts w:ascii="Century Gothic" w:hAnsi="Century Gothic" w:cs="Arial"/>
          <w:sz w:val="22"/>
          <w:szCs w:val="22"/>
          <w:lang w:eastAsia="es-CO"/>
        </w:rPr>
      </w:pPr>
    </w:p>
    <w:p w14:paraId="33F9D40A">
      <w:pPr>
        <w:pStyle w:val="65"/>
        <w:numPr>
          <w:ilvl w:val="0"/>
          <w:numId w:val="66"/>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Disponer de los recursos técnicos y humanos para implementar y mantener en funcionamiento el SARLAFT.</w:t>
      </w:r>
    </w:p>
    <w:p w14:paraId="1248632B">
      <w:pPr>
        <w:pStyle w:val="65"/>
        <w:rPr>
          <w:rFonts w:ascii="Century Gothic" w:hAnsi="Century Gothic" w:cs="Arial"/>
          <w:sz w:val="22"/>
          <w:szCs w:val="22"/>
          <w:lang w:eastAsia="es-CO"/>
        </w:rPr>
      </w:pPr>
    </w:p>
    <w:p w14:paraId="7E1132CC">
      <w:pPr>
        <w:pStyle w:val="65"/>
        <w:numPr>
          <w:ilvl w:val="0"/>
          <w:numId w:val="66"/>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Prestar efectivo, eficiente y oportuno apoyo al oficial de cumplimiento.</w:t>
      </w:r>
    </w:p>
    <w:p w14:paraId="74D6B591">
      <w:pPr>
        <w:pStyle w:val="65"/>
        <w:rPr>
          <w:rFonts w:ascii="Century Gothic" w:hAnsi="Century Gothic" w:cs="Arial"/>
          <w:sz w:val="22"/>
          <w:szCs w:val="22"/>
          <w:lang w:eastAsia="es-CO"/>
        </w:rPr>
      </w:pPr>
    </w:p>
    <w:p w14:paraId="6C006672">
      <w:pPr>
        <w:pStyle w:val="65"/>
        <w:numPr>
          <w:ilvl w:val="0"/>
          <w:numId w:val="66"/>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Garantizar que los registros utilizados en el SARLAFT cumplan con los criterios de integridad, oportunidad, confiabilidad y disponibilidad de la información allí contenida.</w:t>
      </w:r>
    </w:p>
    <w:p w14:paraId="66671D78">
      <w:pPr>
        <w:pStyle w:val="65"/>
        <w:rPr>
          <w:rFonts w:ascii="Century Gothic" w:hAnsi="Century Gothic" w:cs="Arial"/>
          <w:sz w:val="22"/>
          <w:szCs w:val="22"/>
          <w:lang w:eastAsia="es-CO"/>
        </w:rPr>
      </w:pPr>
    </w:p>
    <w:p w14:paraId="1CE280C1">
      <w:pPr>
        <w:pStyle w:val="65"/>
        <w:numPr>
          <w:ilvl w:val="0"/>
          <w:numId w:val="66"/>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Aprobar anualmente los planes de capacitación sobre el SARLAFT dirigidos a todas las áreas y funcionarios de la Entidad, incluyendo los integrantes de los órganos de administración y de control.</w:t>
      </w:r>
    </w:p>
    <w:p w14:paraId="38721EC4">
      <w:pPr>
        <w:pStyle w:val="65"/>
        <w:rPr>
          <w:rFonts w:ascii="Century Gothic" w:hAnsi="Century Gothic" w:cs="Arial"/>
          <w:sz w:val="22"/>
          <w:szCs w:val="22"/>
          <w:lang w:eastAsia="es-CO"/>
        </w:rPr>
      </w:pPr>
    </w:p>
    <w:p w14:paraId="0D1316F4">
      <w:pPr>
        <w:pStyle w:val="65"/>
        <w:autoSpaceDE w:val="0"/>
        <w:autoSpaceDN w:val="0"/>
        <w:adjustRightInd w:val="0"/>
        <w:ind w:left="720"/>
        <w:rPr>
          <w:rFonts w:ascii="Century Gothic" w:hAnsi="Century Gothic" w:cs="Arial"/>
          <w:sz w:val="22"/>
          <w:szCs w:val="22"/>
          <w:lang w:eastAsia="es-CO"/>
        </w:rPr>
      </w:pPr>
    </w:p>
    <w:p w14:paraId="306448A3">
      <w:pPr>
        <w:pStyle w:val="65"/>
        <w:numPr>
          <w:ilvl w:val="3"/>
          <w:numId w:val="8"/>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REQUISITOS Y FUNCIONES DEL OFICIAL DE CUMPLIMIENTO.</w:t>
      </w:r>
    </w:p>
    <w:p w14:paraId="12435F52">
      <w:pPr>
        <w:autoSpaceDE w:val="0"/>
        <w:autoSpaceDN w:val="0"/>
        <w:adjustRightInd w:val="0"/>
        <w:rPr>
          <w:rFonts w:ascii="Century Gothic" w:hAnsi="Century Gothic" w:cs="Arial"/>
          <w:b/>
          <w:bCs/>
          <w:sz w:val="22"/>
          <w:szCs w:val="22"/>
          <w:lang w:eastAsia="es-CO"/>
        </w:rPr>
      </w:pPr>
    </w:p>
    <w:p w14:paraId="3DAC98EB">
      <w:pPr>
        <w:rPr>
          <w:rFonts w:ascii="Century Gothic" w:hAnsi="Century Gothic" w:cs="Arial"/>
          <w:sz w:val="22"/>
          <w:szCs w:val="22"/>
        </w:rPr>
      </w:pPr>
      <w:r>
        <w:rPr>
          <w:rFonts w:ascii="Century Gothic" w:hAnsi="Century Gothic" w:cs="Arial"/>
          <w:sz w:val="22"/>
          <w:szCs w:val="22"/>
        </w:rPr>
        <w:t>Para desempeñar el cargo de Oficial de Cumplimiento, es necesario atender y cumplir con lo siguiente, según instrucciones de la Superintendencia de la Economía Solidaria CE/14/DIC/2018:</w:t>
      </w:r>
    </w:p>
    <w:p w14:paraId="217337D4">
      <w:pPr>
        <w:autoSpaceDE w:val="0"/>
        <w:autoSpaceDN w:val="0"/>
        <w:adjustRightInd w:val="0"/>
        <w:rPr>
          <w:rFonts w:ascii="Century Gothic" w:hAnsi="Century Gothic" w:cs="Arial"/>
          <w:sz w:val="22"/>
          <w:szCs w:val="22"/>
          <w:lang w:eastAsia="es-CO"/>
        </w:rPr>
      </w:pPr>
    </w:p>
    <w:p w14:paraId="5C318C4B">
      <w:p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La Entidad designará un Oficial de Cumplimiento con su respectivo suplente.</w:t>
      </w:r>
    </w:p>
    <w:p w14:paraId="73DFEFA3">
      <w:pPr>
        <w:autoSpaceDE w:val="0"/>
        <w:autoSpaceDN w:val="0"/>
        <w:adjustRightInd w:val="0"/>
        <w:rPr>
          <w:rFonts w:ascii="Century Gothic" w:hAnsi="Century Gothic" w:cs="Arial"/>
          <w:sz w:val="22"/>
          <w:szCs w:val="22"/>
          <w:lang w:eastAsia="es-CO"/>
        </w:rPr>
      </w:pPr>
    </w:p>
    <w:p w14:paraId="70F92A9C">
      <w:pPr>
        <w:autoSpaceDE w:val="0"/>
        <w:autoSpaceDN w:val="0"/>
        <w:adjustRightInd w:val="0"/>
        <w:rPr>
          <w:rFonts w:ascii="Century Gothic" w:hAnsi="Century Gothic" w:cs="Arial"/>
          <w:b/>
          <w:sz w:val="22"/>
          <w:szCs w:val="22"/>
          <w:lang w:eastAsia="es-CO"/>
        </w:rPr>
      </w:pPr>
      <w:r>
        <w:rPr>
          <w:rFonts w:ascii="Century Gothic" w:hAnsi="Century Gothic" w:cs="Arial"/>
          <w:b/>
          <w:sz w:val="22"/>
          <w:szCs w:val="22"/>
          <w:lang w:eastAsia="es-CO"/>
        </w:rPr>
        <w:t xml:space="preserve">Requisitos </w:t>
      </w:r>
    </w:p>
    <w:p w14:paraId="21E4A02E">
      <w:pPr>
        <w:pStyle w:val="65"/>
        <w:autoSpaceDE w:val="0"/>
        <w:autoSpaceDN w:val="0"/>
        <w:adjustRightInd w:val="0"/>
        <w:ind w:left="720"/>
        <w:rPr>
          <w:rFonts w:ascii="Century Gothic" w:hAnsi="Century Gothic" w:cs="Arial"/>
          <w:b/>
          <w:sz w:val="22"/>
          <w:szCs w:val="22"/>
          <w:lang w:eastAsia="es-CO"/>
        </w:rPr>
      </w:pPr>
    </w:p>
    <w:p w14:paraId="5AE1C1C7">
      <w:p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El Oficial de Cumplimiento debe cumplir, como mínimo, con los siguientes requisitos:</w:t>
      </w:r>
    </w:p>
    <w:p w14:paraId="21D3CA8F">
      <w:pPr>
        <w:autoSpaceDE w:val="0"/>
        <w:autoSpaceDN w:val="0"/>
        <w:adjustRightInd w:val="0"/>
        <w:rPr>
          <w:rFonts w:ascii="Century Gothic" w:hAnsi="Century Gothic" w:cs="Arial"/>
          <w:sz w:val="22"/>
          <w:szCs w:val="22"/>
          <w:lang w:eastAsia="es-CO"/>
        </w:rPr>
      </w:pPr>
    </w:p>
    <w:p w14:paraId="550E8C91">
      <w:pPr>
        <w:pStyle w:val="65"/>
        <w:numPr>
          <w:ilvl w:val="1"/>
          <w:numId w:val="67"/>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Su designación estará a cargo del órgano permanente de administración.</w:t>
      </w:r>
    </w:p>
    <w:p w14:paraId="2A336E7E">
      <w:pPr>
        <w:pStyle w:val="65"/>
        <w:numPr>
          <w:ilvl w:val="1"/>
          <w:numId w:val="67"/>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La persona que se designe debe tener capacidad de decisión y depender directamente del órgano de administración. </w:t>
      </w:r>
    </w:p>
    <w:p w14:paraId="1222AD1F">
      <w:pPr>
        <w:pStyle w:val="65"/>
        <w:rPr>
          <w:rFonts w:ascii="Century Gothic" w:hAnsi="Century Gothic" w:cs="Arial"/>
          <w:sz w:val="22"/>
          <w:szCs w:val="22"/>
          <w:lang w:eastAsia="es-CO"/>
        </w:rPr>
      </w:pPr>
    </w:p>
    <w:p w14:paraId="57582D77">
      <w:pPr>
        <w:pStyle w:val="65"/>
        <w:numPr>
          <w:ilvl w:val="1"/>
          <w:numId w:val="67"/>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Ser empleado de la Entidad. </w:t>
      </w:r>
      <w:r>
        <w:rPr>
          <w:rFonts w:ascii="Century Gothic" w:hAnsi="Century Gothic" w:cs="Arial" w:eastAsiaTheme="minorHAnsi"/>
          <w:color w:val="000000"/>
          <w:sz w:val="22"/>
          <w:szCs w:val="22"/>
          <w:lang w:eastAsia="en-US"/>
        </w:rPr>
        <w:t xml:space="preserve">En las organizaciones que tienen activos inferiores a $10.000 millones y menos de 10 empleados, el oficial de cumplimiento puede ser el representante legal. El valor de activos aquí señalado, se ajustará anualmente de acuerdo con la variación anual del Índice de Precios al Consumidor. </w:t>
      </w:r>
    </w:p>
    <w:p w14:paraId="6CD518B3">
      <w:pPr>
        <w:pStyle w:val="65"/>
        <w:rPr>
          <w:rFonts w:cs="Arial" w:eastAsiaTheme="minorHAnsi"/>
          <w:color w:val="000000"/>
          <w:sz w:val="22"/>
          <w:szCs w:val="22"/>
          <w:lang w:eastAsia="en-US"/>
        </w:rPr>
      </w:pPr>
    </w:p>
    <w:p w14:paraId="46218F80">
      <w:pPr>
        <w:pStyle w:val="65"/>
        <w:numPr>
          <w:ilvl w:val="1"/>
          <w:numId w:val="67"/>
        </w:numPr>
        <w:autoSpaceDE w:val="0"/>
        <w:autoSpaceDN w:val="0"/>
        <w:adjustRightInd w:val="0"/>
        <w:rPr>
          <w:rFonts w:ascii="Century Gothic" w:hAnsi="Century Gothic" w:cs="Arial"/>
          <w:sz w:val="22"/>
          <w:szCs w:val="22"/>
          <w:lang w:eastAsia="es-CO"/>
        </w:rPr>
      </w:pPr>
      <w:r>
        <w:rPr>
          <w:rFonts w:ascii="Century Gothic" w:hAnsi="Century Gothic" w:cs="Arial" w:eastAsiaTheme="minorHAnsi"/>
          <w:color w:val="000000"/>
          <w:sz w:val="22"/>
          <w:szCs w:val="22"/>
          <w:lang w:eastAsia="en-US"/>
        </w:rPr>
        <w:t xml:space="preserve">Si la organización solidaria vigilada se encuentra clasificada en el tercer nivel de supervisión, el oficial de cumplimiento podrá contratarse bajo la modalidad de prestación de servicios, con máximo cuatro contratos con otras organizaciones cuyo objeto sea la prestación de servicios para ejercer funciones de oficial de cumplimiento. </w:t>
      </w:r>
    </w:p>
    <w:p w14:paraId="108B00BD">
      <w:pPr>
        <w:pStyle w:val="65"/>
        <w:rPr>
          <w:rFonts w:ascii="Century Gothic" w:hAnsi="Century Gothic" w:cs="Arial"/>
          <w:sz w:val="22"/>
          <w:szCs w:val="22"/>
          <w:lang w:eastAsia="es-CO"/>
        </w:rPr>
      </w:pPr>
    </w:p>
    <w:p w14:paraId="3FA800F7">
      <w:pPr>
        <w:pStyle w:val="65"/>
        <w:numPr>
          <w:ilvl w:val="1"/>
          <w:numId w:val="67"/>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Acreditar </w:t>
      </w:r>
      <w:r>
        <w:rPr>
          <w:rFonts w:ascii="Century Gothic" w:hAnsi="Century Gothic" w:cs="Arial" w:eastAsiaTheme="minorHAnsi"/>
          <w:color w:val="000000"/>
          <w:sz w:val="22"/>
          <w:szCs w:val="22"/>
          <w:lang w:eastAsia="en-US"/>
        </w:rPr>
        <w:t xml:space="preserve">ante el órgano permanente de administración de la organización solidaria vigilada, conocimientos en administración de riesgos mediante la siguiente documentación: </w:t>
      </w:r>
    </w:p>
    <w:p w14:paraId="2B39E750">
      <w:pPr>
        <w:pStyle w:val="65"/>
        <w:rPr>
          <w:rFonts w:ascii="Century Gothic" w:hAnsi="Century Gothic" w:cs="Arial"/>
          <w:sz w:val="22"/>
          <w:szCs w:val="22"/>
          <w:lang w:eastAsia="es-CO"/>
        </w:rPr>
      </w:pPr>
    </w:p>
    <w:p w14:paraId="676BAAE5">
      <w:pPr>
        <w:pStyle w:val="65"/>
        <w:numPr>
          <w:ilvl w:val="2"/>
          <w:numId w:val="67"/>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Certificación del curso e-learning de la UIAF en el módulo general.</w:t>
      </w:r>
    </w:p>
    <w:p w14:paraId="2888144B">
      <w:pPr>
        <w:pStyle w:val="65"/>
        <w:numPr>
          <w:ilvl w:val="2"/>
          <w:numId w:val="67"/>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Constancia de capacitación en materia de riesgos que incluya un módulo LA/FT, mediante certificación expedida por parte de instituciones de educación superior acreditadas ante el Ministerio de Educación Nacional, con una duración no inferior a 90 horas.</w:t>
      </w:r>
    </w:p>
    <w:p w14:paraId="077F59D1">
      <w:pPr>
        <w:pStyle w:val="65"/>
        <w:autoSpaceDE w:val="0"/>
        <w:autoSpaceDN w:val="0"/>
        <w:adjustRightInd w:val="0"/>
        <w:ind w:left="720"/>
        <w:rPr>
          <w:rFonts w:cs="Arial" w:eastAsiaTheme="minorHAnsi"/>
          <w:color w:val="000000"/>
          <w:lang w:eastAsia="en-US"/>
        </w:rPr>
      </w:pPr>
    </w:p>
    <w:p w14:paraId="3BA54EDD">
      <w:pPr>
        <w:pStyle w:val="65"/>
        <w:numPr>
          <w:ilvl w:val="0"/>
          <w:numId w:val="67"/>
        </w:num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Si el oficial de cumplimiento realiza simultáneamente otras actividades dentro de la organización solidaria, se debe verificar que no pertenezca a los órganos de control, o a las áreas comerciales; en todo caso, en la política debe existir un régimen de inhabilidades e incompatibilidades respecto al oficial de cumplimiento que simultáneamente ejerza otro cargo dentro de la organización.</w:t>
      </w:r>
    </w:p>
    <w:p w14:paraId="4FCF4701">
      <w:pPr>
        <w:pStyle w:val="65"/>
        <w:autoSpaceDE w:val="0"/>
        <w:autoSpaceDN w:val="0"/>
        <w:adjustRightInd w:val="0"/>
        <w:ind w:left="720"/>
        <w:rPr>
          <w:rFonts w:ascii="Century Gothic" w:hAnsi="Century Gothic" w:cs="Arial" w:eastAsiaTheme="minorHAnsi"/>
          <w:color w:val="000000"/>
          <w:sz w:val="22"/>
          <w:szCs w:val="22"/>
          <w:lang w:eastAsia="en-US"/>
        </w:rPr>
      </w:pPr>
    </w:p>
    <w:p w14:paraId="5DE3DF95">
      <w:pPr>
        <w:pStyle w:val="65"/>
        <w:numPr>
          <w:ilvl w:val="0"/>
          <w:numId w:val="67"/>
        </w:num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Los oficiales de cumplimiento deberán ejercer sus cargos a partir de su nombramiento por parte del órgano permanente de administración. </w:t>
      </w:r>
    </w:p>
    <w:p w14:paraId="0A053864">
      <w:pPr>
        <w:pStyle w:val="65"/>
        <w:rPr>
          <w:rFonts w:ascii="Century Gothic" w:hAnsi="Century Gothic" w:cs="Arial" w:eastAsiaTheme="minorHAnsi"/>
          <w:color w:val="000000"/>
          <w:sz w:val="22"/>
          <w:szCs w:val="22"/>
          <w:lang w:eastAsia="en-US"/>
        </w:rPr>
      </w:pPr>
    </w:p>
    <w:p w14:paraId="0550FEF7">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Dentro de los 30 días calendarios siguientes a su designación, el gerente o representante legal de estas organizaciones, deberá informar a la Superintendencia de la Economía Solidaria, la identificación completa de las personas que ejercerán los cargos de oficiales de cumplimiento principal y suplente y remitir copia del acta del órgano permanente de administración donde conste su nombramiento. </w:t>
      </w:r>
    </w:p>
    <w:p w14:paraId="50785AB2">
      <w:pPr>
        <w:autoSpaceDE w:val="0"/>
        <w:autoSpaceDN w:val="0"/>
        <w:adjustRightInd w:val="0"/>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Una vez designados, la organización solidaria deberá igualmente actualizar los datos en la UIAF a través del SIREL y cada vez que se produzca un nuevo nombramiento.</w:t>
      </w:r>
    </w:p>
    <w:p w14:paraId="343C4A56">
      <w:p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 xml:space="preserve">Funciones </w:t>
      </w:r>
    </w:p>
    <w:p w14:paraId="07FC9FC2">
      <w:pPr>
        <w:autoSpaceDE w:val="0"/>
        <w:autoSpaceDN w:val="0"/>
        <w:adjustRightInd w:val="0"/>
        <w:rPr>
          <w:rFonts w:ascii="Century Gothic" w:hAnsi="Century Gothic" w:cs="Arial"/>
          <w:b/>
          <w:bCs/>
          <w:sz w:val="22"/>
          <w:szCs w:val="22"/>
          <w:lang w:eastAsia="es-CO"/>
        </w:rPr>
      </w:pPr>
    </w:p>
    <w:p w14:paraId="01899924">
      <w:p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El Oficial de Cumplimiento debe cumplir como mínimo con las siguientes funciones:</w:t>
      </w:r>
    </w:p>
    <w:p w14:paraId="16C4AE62">
      <w:pPr>
        <w:autoSpaceDE w:val="0"/>
        <w:autoSpaceDN w:val="0"/>
        <w:adjustRightInd w:val="0"/>
        <w:jc w:val="left"/>
        <w:rPr>
          <w:rFonts w:cs="Arial" w:eastAsiaTheme="minorHAnsi"/>
          <w:color w:val="000000"/>
          <w:lang w:eastAsia="en-US"/>
        </w:rPr>
      </w:pPr>
    </w:p>
    <w:p w14:paraId="126290D7">
      <w:pPr>
        <w:pStyle w:val="65"/>
        <w:numPr>
          <w:ilvl w:val="0"/>
          <w:numId w:val="68"/>
        </w:numPr>
        <w:autoSpaceDE w:val="0"/>
        <w:autoSpaceDN w:val="0"/>
        <w:adjustRightInd w:val="0"/>
        <w:spacing w:after="266"/>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Vigilar el cumplimento de todos los aspectos señalados en la Ley, por la Superintendencia de Economía Solidaria y los que determine la Entidad para la administración del riesgo LA/FT. </w:t>
      </w:r>
    </w:p>
    <w:p w14:paraId="6A5B3FAA">
      <w:pPr>
        <w:pStyle w:val="65"/>
        <w:numPr>
          <w:ilvl w:val="0"/>
          <w:numId w:val="68"/>
        </w:numPr>
        <w:autoSpaceDE w:val="0"/>
        <w:autoSpaceDN w:val="0"/>
        <w:adjustRightInd w:val="0"/>
        <w:spacing w:after="266"/>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Proponer al órgano permanente de administración y al representante legal, la actualización y adopción de correctivos del manual de procedimientos y del código de conducta y velar por su divulgación a todos los empleados de la organización. </w:t>
      </w:r>
    </w:p>
    <w:p w14:paraId="49A63DC1">
      <w:pPr>
        <w:pStyle w:val="65"/>
        <w:numPr>
          <w:ilvl w:val="0"/>
          <w:numId w:val="68"/>
        </w:numPr>
        <w:autoSpaceDE w:val="0"/>
        <w:autoSpaceDN w:val="0"/>
        <w:adjustRightInd w:val="0"/>
        <w:spacing w:after="266"/>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Coordinar el desarrollo de programas internos de capacitación. </w:t>
      </w:r>
    </w:p>
    <w:p w14:paraId="099BE0F2">
      <w:pPr>
        <w:pStyle w:val="65"/>
        <w:numPr>
          <w:ilvl w:val="0"/>
          <w:numId w:val="68"/>
        </w:numPr>
        <w:autoSpaceDE w:val="0"/>
        <w:autoSpaceDN w:val="0"/>
        <w:adjustRightInd w:val="0"/>
        <w:spacing w:after="266"/>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Reportar a la persona u órganos designados en el manual, sobre las posibles faltas que comprometan la responsabilidad de los asociados, clientes, empleados, contratistas y demás contrapartes para que se adopten las medidas a que haya lugar. </w:t>
      </w:r>
    </w:p>
    <w:p w14:paraId="3C11507F">
      <w:pPr>
        <w:pStyle w:val="65"/>
        <w:numPr>
          <w:ilvl w:val="0"/>
          <w:numId w:val="68"/>
        </w:numPr>
        <w:autoSpaceDE w:val="0"/>
        <w:autoSpaceDN w:val="0"/>
        <w:adjustRightInd w:val="0"/>
        <w:spacing w:after="266"/>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Velar por el adecuado archivo de los soportes documentales y demás información relativa al LA/FT, en los términos establecidos en la presente instrucción. </w:t>
      </w:r>
    </w:p>
    <w:p w14:paraId="7F49F4E5">
      <w:pPr>
        <w:pStyle w:val="65"/>
        <w:numPr>
          <w:ilvl w:val="0"/>
          <w:numId w:val="68"/>
        </w:numPr>
        <w:autoSpaceDE w:val="0"/>
        <w:autoSpaceDN w:val="0"/>
        <w:adjustRightInd w:val="0"/>
        <w:spacing w:after="266"/>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Recibir y analizar los reportes internos y realizar los reportes externos establecidos en la presente instrucción, individualmente o con la instancia designada para el efecto. </w:t>
      </w:r>
    </w:p>
    <w:p w14:paraId="5344F073">
      <w:pPr>
        <w:pStyle w:val="65"/>
        <w:numPr>
          <w:ilvl w:val="0"/>
          <w:numId w:val="68"/>
        </w:numPr>
        <w:autoSpaceDE w:val="0"/>
        <w:autoSpaceDN w:val="0"/>
        <w:adjustRightInd w:val="0"/>
        <w:spacing w:after="266"/>
        <w:rPr>
          <w:rFonts w:ascii="Century Gothic" w:hAnsi="Century Gothic" w:cs="Arial" w:eastAsiaTheme="minorHAnsi"/>
          <w:color w:val="000000"/>
          <w:sz w:val="22"/>
          <w:szCs w:val="22"/>
          <w:lang w:eastAsia="en-US"/>
        </w:rPr>
      </w:pPr>
      <w:r>
        <w:rPr>
          <w:rFonts w:ascii="Century Gothic" w:hAnsi="Century Gothic" w:cs="Arial" w:eastAsiaTheme="minorHAnsi"/>
          <w:bCs/>
          <w:color w:val="000000"/>
          <w:sz w:val="22"/>
          <w:szCs w:val="22"/>
          <w:lang w:eastAsia="en-US"/>
        </w:rPr>
        <w:t xml:space="preserve">Evaluar los informes presentados por la Revisoría Fiscal y la Auditoría Interna (si existiere) o quien haga sus veces, sobre la gestión del riesgo LA/FT y proponer al órgano permanente de administración los correctivos que se consideren pertinentes frente a las observaciones o recomendaciones contenidas en dichos informes. </w:t>
      </w:r>
    </w:p>
    <w:p w14:paraId="16C93DFA">
      <w:pPr>
        <w:pStyle w:val="65"/>
        <w:numPr>
          <w:ilvl w:val="0"/>
          <w:numId w:val="68"/>
        </w:numPr>
        <w:autoSpaceDE w:val="0"/>
        <w:autoSpaceDN w:val="0"/>
        <w:adjustRightInd w:val="0"/>
        <w:jc w:val="left"/>
        <w:rPr>
          <w:rFonts w:ascii="Century Gothic" w:hAnsi="Century Gothic" w:eastAsiaTheme="minorHAnsi"/>
          <w:color w:val="000000"/>
          <w:sz w:val="22"/>
          <w:szCs w:val="22"/>
          <w:lang w:eastAsia="en-US"/>
        </w:rPr>
      </w:pPr>
      <w:r>
        <w:rPr>
          <w:rFonts w:ascii="Century Gothic" w:hAnsi="Century Gothic" w:eastAsiaTheme="minorHAnsi"/>
          <w:color w:val="000000"/>
          <w:sz w:val="22"/>
          <w:szCs w:val="22"/>
          <w:lang w:eastAsia="en-US"/>
        </w:rPr>
        <w:t xml:space="preserve">Mantener actualizados los datos de la organización con la UIAF. </w:t>
      </w:r>
    </w:p>
    <w:p w14:paraId="415B5D43">
      <w:pPr>
        <w:autoSpaceDE w:val="0"/>
        <w:autoSpaceDN w:val="0"/>
        <w:adjustRightInd w:val="0"/>
        <w:jc w:val="left"/>
        <w:rPr>
          <w:rFonts w:ascii="Century Gothic" w:hAnsi="Century Gothic" w:eastAsiaTheme="minorHAnsi"/>
          <w:color w:val="000000"/>
          <w:sz w:val="22"/>
          <w:szCs w:val="22"/>
          <w:lang w:eastAsia="en-US"/>
        </w:rPr>
      </w:pPr>
    </w:p>
    <w:p w14:paraId="6915AB14">
      <w:pPr>
        <w:pStyle w:val="65"/>
        <w:numPr>
          <w:ilvl w:val="0"/>
          <w:numId w:val="68"/>
        </w:numPr>
        <w:autoSpaceDE w:val="0"/>
        <w:autoSpaceDN w:val="0"/>
        <w:adjustRightInd w:val="0"/>
        <w:spacing w:after="264"/>
        <w:contextualSpacing/>
        <w:jc w:val="left"/>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Monitorear permanentemente el cumplimiento de los reportes </w:t>
      </w:r>
      <w:r>
        <w:rPr>
          <w:rFonts w:ascii="Century Gothic" w:hAnsi="Century Gothic" w:cs="Arial" w:eastAsiaTheme="minorHAnsi"/>
          <w:bCs/>
          <w:color w:val="000000"/>
          <w:sz w:val="22"/>
          <w:szCs w:val="22"/>
          <w:lang w:eastAsia="en-US"/>
        </w:rPr>
        <w:t>a la UIAF</w:t>
      </w:r>
      <w:r>
        <w:rPr>
          <w:rFonts w:ascii="Century Gothic" w:hAnsi="Century Gothic" w:cs="Arial" w:eastAsiaTheme="minorHAnsi"/>
          <w:color w:val="000000"/>
          <w:sz w:val="22"/>
          <w:szCs w:val="22"/>
          <w:lang w:eastAsia="en-US"/>
        </w:rPr>
        <w:t xml:space="preserve">, a través del Sistema de Reporte en Línea – SIREL, opción reportes estadísticos. </w:t>
      </w:r>
    </w:p>
    <w:p w14:paraId="7F511300">
      <w:pPr>
        <w:pStyle w:val="65"/>
        <w:contextualSpacing/>
        <w:rPr>
          <w:rFonts w:ascii="Century Gothic" w:hAnsi="Century Gothic" w:cs="Arial" w:eastAsiaTheme="minorHAnsi"/>
          <w:color w:val="000000"/>
          <w:sz w:val="22"/>
          <w:szCs w:val="22"/>
          <w:lang w:eastAsia="en-US"/>
        </w:rPr>
      </w:pPr>
    </w:p>
    <w:p w14:paraId="6452E70D">
      <w:pPr>
        <w:pStyle w:val="65"/>
        <w:numPr>
          <w:ilvl w:val="0"/>
          <w:numId w:val="68"/>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Presentar trimestralmente informes presenciales y por escrito al órgano permanente de administración, el cual deberá abarcar por lo menos los siguientes aspectos: </w:t>
      </w:r>
    </w:p>
    <w:p w14:paraId="5B76C7E5">
      <w:pPr>
        <w:pStyle w:val="65"/>
        <w:autoSpaceDE w:val="0"/>
        <w:autoSpaceDN w:val="0"/>
        <w:adjustRightInd w:val="0"/>
        <w:spacing w:after="264"/>
        <w:ind w:left="1494"/>
        <w:contextualSpacing/>
        <w:jc w:val="left"/>
        <w:rPr>
          <w:rFonts w:ascii="Century Gothic" w:hAnsi="Century Gothic" w:cs="Arial" w:eastAsiaTheme="minorHAnsi"/>
          <w:color w:val="000000"/>
          <w:sz w:val="22"/>
          <w:szCs w:val="22"/>
          <w:lang w:eastAsia="en-US"/>
        </w:rPr>
      </w:pPr>
    </w:p>
    <w:p w14:paraId="76DF84CA">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Las políticas y programas desarrollados para cumplir su función y los resultados de la gestión realizada. </w:t>
      </w:r>
    </w:p>
    <w:p w14:paraId="77F62919">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El cumplimiento que se ha dado en relación con el envío de los reportes a las diferentes autoridades. </w:t>
      </w:r>
    </w:p>
    <w:p w14:paraId="39939DB1">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Las políticas y programas adoptados para la actualización de la información de los asociados o clientes y los avances sobre la determinación de los perfiles de riesgo de los asociados o clientes y de los productos y servicios. </w:t>
      </w:r>
    </w:p>
    <w:p w14:paraId="6F1561A5">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La efectividad de los mecanismos e instrumentos de control y las medidas adoptadas para corregir las fallas. </w:t>
      </w:r>
    </w:p>
    <w:p w14:paraId="224FE8AF">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Los casos específicos de incumplimiento por parte de los funcionarios de la organización, así como los resultados de las órdenes impartidas por el órgano permanente de administración. </w:t>
      </w:r>
    </w:p>
    <w:p w14:paraId="6E9E5138">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Los correctivos que considere necesarios, incluidas las propuestas de actualización o mejora de los mecanismos e instrumentos de control. </w:t>
      </w:r>
    </w:p>
    <w:p w14:paraId="4A9ED4C5">
      <w:pPr>
        <w:autoSpaceDE w:val="0"/>
        <w:autoSpaceDN w:val="0"/>
        <w:adjustRightInd w:val="0"/>
        <w:jc w:val="left"/>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Las demás inherentes al cargo que guarden relación con el riesgo LA/FT. </w:t>
      </w:r>
    </w:p>
    <w:p w14:paraId="75CCF0AC">
      <w:pPr>
        <w:autoSpaceDE w:val="0"/>
        <w:autoSpaceDN w:val="0"/>
        <w:adjustRightInd w:val="0"/>
        <w:jc w:val="left"/>
        <w:rPr>
          <w:rFonts w:ascii="Century Gothic" w:hAnsi="Century Gothic" w:cs="Arial" w:eastAsiaTheme="minorHAnsi"/>
          <w:color w:val="000000"/>
          <w:sz w:val="22"/>
          <w:szCs w:val="22"/>
          <w:lang w:eastAsia="en-US"/>
        </w:rPr>
      </w:pPr>
    </w:p>
    <w:p w14:paraId="4688F8D6">
      <w:pPr>
        <w:pStyle w:val="3"/>
        <w:keepNext w:val="0"/>
        <w:numPr>
          <w:ilvl w:val="3"/>
          <w:numId w:val="8"/>
        </w:numPr>
        <w:spacing w:after="240"/>
        <w:rPr>
          <w:rFonts w:ascii="Century Gothic" w:hAnsi="Century Gothic"/>
          <w:snapToGrid w:val="0"/>
          <w:sz w:val="22"/>
          <w:szCs w:val="22"/>
        </w:rPr>
      </w:pPr>
      <w:bookmarkStart w:id="133" w:name="_Toc487230425"/>
      <w:r>
        <w:rPr>
          <w:rFonts w:ascii="Century Gothic" w:hAnsi="Century Gothic"/>
          <w:snapToGrid w:val="0"/>
          <w:sz w:val="22"/>
          <w:szCs w:val="22"/>
        </w:rPr>
        <w:t>FUNCIONES GENERALES A CARGO DE LAS DIFERENTES ÁREAS QUE APOYAN A LA GERENCIA DE LA ENTIDAD Y AL OFICIAL DE CUMPLIMIENTO.</w:t>
      </w:r>
      <w:bookmarkEnd w:id="133"/>
    </w:p>
    <w:p w14:paraId="0FBEFFD7">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Efectuar oportunamente los reportes de operaciones inusuales que se puedan presentar en el desarrollo normal de sus actividades.</w:t>
      </w:r>
    </w:p>
    <w:p w14:paraId="2D698345">
      <w:pPr>
        <w:pStyle w:val="65"/>
        <w:spacing w:after="160" w:line="259" w:lineRule="auto"/>
        <w:ind w:left="720"/>
        <w:contextualSpacing/>
        <w:rPr>
          <w:rFonts w:ascii="Century Gothic" w:hAnsi="Century Gothic" w:cs="Arial"/>
          <w:sz w:val="22"/>
          <w:szCs w:val="22"/>
        </w:rPr>
      </w:pPr>
    </w:p>
    <w:p w14:paraId="43DDAF54">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Promover y supervisar los controles propios del SARLAFT relacionadas con las funciones y responsabilidades a su cargo.</w:t>
      </w:r>
    </w:p>
    <w:p w14:paraId="2A9C0B60">
      <w:pPr>
        <w:pStyle w:val="65"/>
        <w:spacing w:after="160" w:line="259" w:lineRule="auto"/>
        <w:ind w:left="720"/>
        <w:contextualSpacing/>
        <w:rPr>
          <w:rFonts w:ascii="Century Gothic" w:hAnsi="Century Gothic" w:cs="Arial"/>
          <w:sz w:val="22"/>
          <w:szCs w:val="22"/>
        </w:rPr>
      </w:pPr>
    </w:p>
    <w:p w14:paraId="3F6D1DE5">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Velar por el cumplimiento de las disposiciones legales y reglamentarias, entendiéndose que los lineamientos establecidos por el SARLAFT son de aplicación integral en relación con los demás controles que se tienen establecidos.</w:t>
      </w:r>
    </w:p>
    <w:p w14:paraId="5820A09F">
      <w:pPr>
        <w:pStyle w:val="65"/>
        <w:spacing w:after="160" w:line="259" w:lineRule="auto"/>
        <w:ind w:left="720"/>
        <w:contextualSpacing/>
        <w:rPr>
          <w:rFonts w:ascii="Century Gothic" w:hAnsi="Century Gothic" w:cs="Arial"/>
          <w:sz w:val="22"/>
          <w:szCs w:val="22"/>
        </w:rPr>
      </w:pPr>
    </w:p>
    <w:p w14:paraId="76BEEA12">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Garantizar la verificación de la información registrada en la solicitud de productos y servicios, que emplea la Entidad, dejando evidencia escrita y presentando un informe a su superior inmediato sobre las novedades e inconsistencias halladas y que puedan exponer en riesgo a la entidad.</w:t>
      </w:r>
    </w:p>
    <w:p w14:paraId="1526AD7A">
      <w:pPr>
        <w:pStyle w:val="65"/>
        <w:rPr>
          <w:rFonts w:ascii="Century Gothic" w:hAnsi="Century Gothic" w:cs="Arial"/>
          <w:sz w:val="22"/>
          <w:szCs w:val="22"/>
        </w:rPr>
      </w:pPr>
    </w:p>
    <w:p w14:paraId="07D9DB65">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Evaluar que la información recolectada en la solicitud de vinculación y/o actualización que aporta el Asociado/cliente, corresponda a los soportes anexados por el mismo, y en caso de inconsistencias, reportar al Área de Cumplimiento de manera oportuna.</w:t>
      </w:r>
    </w:p>
    <w:p w14:paraId="4BC25C66">
      <w:pPr>
        <w:pStyle w:val="65"/>
        <w:rPr>
          <w:rFonts w:ascii="Century Gothic" w:hAnsi="Century Gothic" w:cs="Arial"/>
          <w:sz w:val="22"/>
          <w:szCs w:val="22"/>
        </w:rPr>
      </w:pPr>
    </w:p>
    <w:p w14:paraId="7A5FA36C">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Garantizar la marcación en el sistema o mantener un registro de control, de las personas a las cuales no fue posible realizar la verificación y confirmación de datos, para que se generen los mensajes de alerta o si es el caso  de bloqueo, en los procesos posteriores de mantenimiento en sus productos y servicios en las dependencias.</w:t>
      </w:r>
    </w:p>
    <w:p w14:paraId="420D556E">
      <w:pPr>
        <w:pStyle w:val="65"/>
        <w:rPr>
          <w:rFonts w:ascii="Century Gothic" w:hAnsi="Century Gothic" w:cs="Arial"/>
          <w:sz w:val="22"/>
          <w:szCs w:val="22"/>
        </w:rPr>
      </w:pPr>
    </w:p>
    <w:p w14:paraId="149325B8">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Diligenciar los formatos de conocimiento del Asociado/Cliente, Conocimiento del relacionado contractual (vinculación o actualización) y mantenerlos actualizados con base en los requerimientos del Área de Cumplimiento.</w:t>
      </w:r>
    </w:p>
    <w:p w14:paraId="6C1AC5A1">
      <w:pPr>
        <w:pStyle w:val="65"/>
        <w:rPr>
          <w:rFonts w:ascii="Century Gothic" w:hAnsi="Century Gothic" w:cs="Arial"/>
          <w:sz w:val="22"/>
          <w:szCs w:val="22"/>
        </w:rPr>
      </w:pPr>
    </w:p>
    <w:p w14:paraId="5A1C9DC2">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Mantener un flujo de información constante con el Área de Cumplimiento de la Entidad de cara a los procesos de prevención y control, y cumplir oportunamente con los requerimientos que se generen con ocasión de la actividad de prevención de actividades delictivas a través de las operaciones.</w:t>
      </w:r>
    </w:p>
    <w:p w14:paraId="16DD0773">
      <w:pPr>
        <w:pStyle w:val="65"/>
        <w:rPr>
          <w:rFonts w:ascii="Century Gothic" w:hAnsi="Century Gothic" w:cs="Arial"/>
          <w:sz w:val="22"/>
          <w:szCs w:val="22"/>
        </w:rPr>
      </w:pPr>
    </w:p>
    <w:p w14:paraId="44951D7F">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Conocer las principales actividades económicas de la región y la de los Clientes más representativos de su zona.</w:t>
      </w:r>
    </w:p>
    <w:p w14:paraId="245672F5">
      <w:pPr>
        <w:pStyle w:val="65"/>
        <w:spacing w:after="160" w:line="259" w:lineRule="auto"/>
        <w:ind w:left="720"/>
        <w:contextualSpacing/>
        <w:rPr>
          <w:rFonts w:ascii="Century Gothic" w:hAnsi="Century Gothic" w:cs="Arial"/>
          <w:sz w:val="22"/>
          <w:szCs w:val="22"/>
        </w:rPr>
      </w:pPr>
    </w:p>
    <w:p w14:paraId="6017C41F">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Efectuar visitas y entrevistas a los asociados dejando evidencia del hecho, cuando se requiera.</w:t>
      </w:r>
    </w:p>
    <w:p w14:paraId="2384F826">
      <w:pPr>
        <w:pStyle w:val="65"/>
        <w:spacing w:after="160" w:line="259" w:lineRule="auto"/>
        <w:ind w:left="720"/>
        <w:contextualSpacing/>
        <w:rPr>
          <w:rFonts w:ascii="Century Gothic" w:hAnsi="Century Gothic" w:cs="Arial"/>
          <w:sz w:val="22"/>
          <w:szCs w:val="22"/>
        </w:rPr>
      </w:pPr>
    </w:p>
    <w:p w14:paraId="476B7289">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Actualización de la información de empleados, asociados/clientes, y relacionados contractuales, con una periodicidad mínima anual.</w:t>
      </w:r>
    </w:p>
    <w:p w14:paraId="3F3086CC">
      <w:pPr>
        <w:pStyle w:val="65"/>
        <w:spacing w:after="160" w:line="259" w:lineRule="auto"/>
        <w:ind w:left="720"/>
        <w:contextualSpacing/>
        <w:rPr>
          <w:rFonts w:ascii="Century Gothic" w:hAnsi="Century Gothic" w:cs="Arial"/>
          <w:sz w:val="22"/>
          <w:szCs w:val="22"/>
        </w:rPr>
      </w:pPr>
    </w:p>
    <w:p w14:paraId="5DF79F70">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Garantizar la aplicación constante del principio de reserva de información y derecho de confidencialidad que le es debido, a los datos de los clientes, sus productos y sus servicios.</w:t>
      </w:r>
    </w:p>
    <w:p w14:paraId="3933B7C2">
      <w:pPr>
        <w:pStyle w:val="65"/>
        <w:spacing w:after="160" w:line="259" w:lineRule="auto"/>
        <w:ind w:left="720"/>
        <w:contextualSpacing/>
        <w:rPr>
          <w:rFonts w:ascii="Century Gothic" w:hAnsi="Century Gothic" w:cs="Arial"/>
          <w:sz w:val="22"/>
          <w:szCs w:val="22"/>
        </w:rPr>
      </w:pPr>
    </w:p>
    <w:p w14:paraId="17C1FD2F">
      <w:pPr>
        <w:pStyle w:val="65"/>
        <w:numPr>
          <w:ilvl w:val="0"/>
          <w:numId w:val="70"/>
        </w:numPr>
        <w:spacing w:after="160" w:line="259" w:lineRule="auto"/>
        <w:contextualSpacing/>
        <w:rPr>
          <w:rFonts w:ascii="Century Gothic" w:hAnsi="Century Gothic" w:cs="Arial"/>
          <w:sz w:val="22"/>
          <w:szCs w:val="22"/>
        </w:rPr>
      </w:pPr>
      <w:r>
        <w:rPr>
          <w:rFonts w:ascii="Century Gothic" w:hAnsi="Century Gothic" w:cs="Arial"/>
          <w:sz w:val="22"/>
          <w:szCs w:val="22"/>
        </w:rPr>
        <w:t>Conocer y seguir las actuaciones y problemáticas en materia de SARLAFT, informando a la Gerencia y al oficial de Cumplimiento cualquier aspecto que puede afectar el debido funcionamiento de la Entidad, mediante el proceso constante del conocimiento del cliente, asegurando que las operaciones de la entidad no sean utilizadas para encubrir los recursos que tengan sus orígenes en operaciones ilícitas.</w:t>
      </w:r>
    </w:p>
    <w:p w14:paraId="101D6658">
      <w:pPr>
        <w:pStyle w:val="65"/>
        <w:widowControl w:val="0"/>
        <w:autoSpaceDE w:val="0"/>
        <w:autoSpaceDN w:val="0"/>
        <w:adjustRightInd w:val="0"/>
        <w:spacing w:line="242" w:lineRule="auto"/>
        <w:ind w:left="720" w:right="49"/>
        <w:rPr>
          <w:rFonts w:ascii="Century Gothic" w:hAnsi="Century Gothic" w:cs="Arial"/>
          <w:color w:val="000000"/>
          <w:sz w:val="22"/>
          <w:szCs w:val="22"/>
          <w:lang w:eastAsia="es-CO"/>
        </w:rPr>
      </w:pPr>
    </w:p>
    <w:p w14:paraId="458C939F">
      <w:pPr>
        <w:pStyle w:val="65"/>
        <w:widowControl w:val="0"/>
        <w:numPr>
          <w:ilvl w:val="0"/>
          <w:numId w:val="70"/>
        </w:numPr>
        <w:autoSpaceDE w:val="0"/>
        <w:autoSpaceDN w:val="0"/>
        <w:adjustRightInd w:val="0"/>
        <w:spacing w:line="242" w:lineRule="auto"/>
        <w:ind w:right="49"/>
        <w:rPr>
          <w:rFonts w:ascii="Century Gothic" w:hAnsi="Century Gothic" w:cs="Arial"/>
          <w:color w:val="000000"/>
          <w:sz w:val="22"/>
          <w:szCs w:val="22"/>
          <w:lang w:eastAsia="es-CO"/>
        </w:rPr>
      </w:pPr>
      <w:r>
        <w:rPr>
          <w:rFonts w:ascii="Century Gothic" w:hAnsi="Century Gothic" w:cs="Arial"/>
          <w:color w:val="000000"/>
          <w:sz w:val="22"/>
          <w:szCs w:val="22"/>
          <w:lang w:eastAsia="es-CO"/>
        </w:rPr>
        <w:t>Los empleados  responsables de caja deberán responder por el diligenciamiento de los formularios de transacciones en efectivo, cumpliendo con los parámetros establecidos en el presente manual y entregarlos diariamente al Oficial de Cumplimiento.</w:t>
      </w:r>
    </w:p>
    <w:p w14:paraId="5A204870">
      <w:pPr>
        <w:pStyle w:val="65"/>
        <w:widowControl w:val="0"/>
        <w:numPr>
          <w:ilvl w:val="0"/>
          <w:numId w:val="70"/>
        </w:numPr>
        <w:autoSpaceDE w:val="0"/>
        <w:autoSpaceDN w:val="0"/>
        <w:adjustRightInd w:val="0"/>
        <w:spacing w:line="242" w:lineRule="auto"/>
        <w:ind w:right="49"/>
        <w:rPr>
          <w:rFonts w:ascii="Century Gothic" w:hAnsi="Century Gothic" w:cs="Arial"/>
          <w:color w:val="000000"/>
          <w:sz w:val="22"/>
          <w:szCs w:val="22"/>
          <w:lang w:eastAsia="es-CO"/>
        </w:rPr>
      </w:pPr>
      <w:r>
        <w:rPr>
          <w:rFonts w:ascii="Century Gothic" w:hAnsi="Century Gothic" w:cs="Arial"/>
          <w:color w:val="000000"/>
          <w:sz w:val="22"/>
          <w:szCs w:val="22"/>
          <w:lang w:eastAsia="es-CO"/>
        </w:rPr>
        <w:t>Cumplir con las políticas internas diseñadas para el control y prevención de lavado de activos.</w:t>
      </w:r>
    </w:p>
    <w:p w14:paraId="4B6FB4C1">
      <w:pPr>
        <w:widowControl w:val="0"/>
        <w:autoSpaceDE w:val="0"/>
        <w:autoSpaceDN w:val="0"/>
        <w:adjustRightInd w:val="0"/>
        <w:spacing w:line="242" w:lineRule="auto"/>
        <w:ind w:right="49"/>
        <w:rPr>
          <w:rFonts w:ascii="Century Gothic" w:hAnsi="Century Gothic" w:cs="Arial"/>
          <w:color w:val="000000"/>
          <w:sz w:val="22"/>
          <w:szCs w:val="22"/>
          <w:lang w:eastAsia="es-CO"/>
        </w:rPr>
      </w:pPr>
    </w:p>
    <w:p w14:paraId="2C8E01EA">
      <w:pPr>
        <w:rPr>
          <w:rFonts w:ascii="Century Gothic" w:hAnsi="Century Gothic" w:cs="Arial"/>
          <w:sz w:val="22"/>
          <w:szCs w:val="22"/>
        </w:rPr>
      </w:pPr>
    </w:p>
    <w:p w14:paraId="594E8CB9">
      <w:pPr>
        <w:rPr>
          <w:rFonts w:ascii="Century Gothic" w:hAnsi="Century Gothic" w:cs="Arial"/>
          <w:sz w:val="22"/>
          <w:szCs w:val="22"/>
        </w:rPr>
      </w:pPr>
    </w:p>
    <w:p w14:paraId="35798A79">
      <w:pPr>
        <w:rPr>
          <w:rFonts w:ascii="Century Gothic" w:hAnsi="Century Gothic" w:cs="Arial"/>
          <w:sz w:val="22"/>
          <w:szCs w:val="22"/>
        </w:rPr>
      </w:pPr>
    </w:p>
    <w:p w14:paraId="12C201B3">
      <w:pPr>
        <w:rPr>
          <w:rFonts w:ascii="Century Gothic" w:hAnsi="Century Gothic" w:cs="Arial"/>
          <w:sz w:val="22"/>
          <w:szCs w:val="22"/>
        </w:rPr>
      </w:pPr>
    </w:p>
    <w:p w14:paraId="37C7FD47">
      <w:pPr>
        <w:rPr>
          <w:rFonts w:ascii="Century Gothic" w:hAnsi="Century Gothic" w:cs="Arial"/>
          <w:sz w:val="22"/>
          <w:szCs w:val="22"/>
        </w:rPr>
      </w:pPr>
    </w:p>
    <w:p w14:paraId="5EEC2F0B">
      <w:pPr>
        <w:pStyle w:val="65"/>
        <w:numPr>
          <w:ilvl w:val="3"/>
          <w:numId w:val="8"/>
        </w:numPr>
        <w:spacing w:after="160" w:line="259" w:lineRule="auto"/>
        <w:contextualSpacing/>
        <w:rPr>
          <w:rFonts w:ascii="Century Gothic" w:hAnsi="Century Gothic" w:cs="Arial"/>
          <w:b/>
          <w:sz w:val="22"/>
          <w:szCs w:val="22"/>
        </w:rPr>
      </w:pPr>
      <w:r>
        <w:rPr>
          <w:rFonts w:ascii="Century Gothic" w:hAnsi="Century Gothic" w:cs="Arial"/>
          <w:b/>
          <w:sz w:val="22"/>
          <w:szCs w:val="22"/>
        </w:rPr>
        <w:t>ORGANIGRAMA DEL SARLAFT</w:t>
      </w:r>
    </w:p>
    <w:p w14:paraId="47CF58F3">
      <w:pPr>
        <w:pStyle w:val="65"/>
        <w:spacing w:after="160" w:line="259" w:lineRule="auto"/>
        <w:ind w:left="1080"/>
        <w:contextualSpacing/>
        <w:rPr>
          <w:rFonts w:ascii="Century Gothic" w:hAnsi="Century Gothic" w:cs="Arial"/>
          <w:b/>
          <w:sz w:val="22"/>
          <w:szCs w:val="22"/>
        </w:rPr>
      </w:pPr>
      <w:r>
        <w:rPr>
          <w:rFonts w:ascii="Century Gothic" w:hAnsi="Century Gothic" w:cs="Arial"/>
          <w:sz w:val="22"/>
          <w:szCs w:val="22"/>
          <w:lang w:val="es-CO" w:eastAsia="es-CO"/>
        </w:rPr>
        <mc:AlternateContent>
          <mc:Choice Requires="wpg">
            <w:drawing>
              <wp:anchor distT="0" distB="0" distL="114300" distR="114300" simplePos="0" relativeHeight="251664384" behindDoc="0" locked="0" layoutInCell="1" allowOverlap="1">
                <wp:simplePos x="0" y="0"/>
                <wp:positionH relativeFrom="column">
                  <wp:posOffset>309245</wp:posOffset>
                </wp:positionH>
                <wp:positionV relativeFrom="paragraph">
                  <wp:posOffset>635</wp:posOffset>
                </wp:positionV>
                <wp:extent cx="5501005" cy="3553460"/>
                <wp:effectExtent l="228600" t="228600" r="4445" b="256540"/>
                <wp:wrapNone/>
                <wp:docPr id="1" name="Grupo 1"/>
                <wp:cNvGraphicFramePr/>
                <a:graphic xmlns:a="http://schemas.openxmlformats.org/drawingml/2006/main">
                  <a:graphicData uri="http://schemas.microsoft.com/office/word/2010/wordprocessingGroup">
                    <wpg:wgp>
                      <wpg:cNvGrpSpPr/>
                      <wpg:grpSpPr>
                        <a:xfrm>
                          <a:off x="0" y="0"/>
                          <a:ext cx="5501005" cy="3553699"/>
                          <a:chOff x="0" y="0"/>
                          <a:chExt cx="6115050" cy="4819650"/>
                        </a:xfrm>
                      </wpg:grpSpPr>
                      <wps:wsp>
                        <wps:cNvPr id="3" name="Rectángulo redondeado 3"/>
                        <wps:cNvSpPr/>
                        <wps:spPr>
                          <a:xfrm>
                            <a:off x="1876425" y="0"/>
                            <a:ext cx="1828800" cy="552450"/>
                          </a:xfrm>
                          <a:prstGeom prst="roundRect">
                            <a:avLst/>
                          </a:prstGeom>
                          <a:effectLst>
                            <a:glow rad="228600">
                              <a:schemeClr val="accent3">
                                <a:satMod val="175000"/>
                                <a:alpha val="40000"/>
                              </a:schemeClr>
                            </a:glow>
                          </a:effectLst>
                        </wps:spPr>
                        <wps:style>
                          <a:lnRef idx="2">
                            <a:schemeClr val="accent1"/>
                          </a:lnRef>
                          <a:fillRef idx="1">
                            <a:schemeClr val="lt1"/>
                          </a:fillRef>
                          <a:effectRef idx="0">
                            <a:schemeClr val="accent1"/>
                          </a:effectRef>
                          <a:fontRef idx="minor">
                            <a:schemeClr val="dk1"/>
                          </a:fontRef>
                        </wps:style>
                        <wps:txbx>
                          <w:txbxContent>
                            <w:p w14:paraId="1071CC7C">
                              <w:pPr>
                                <w:jc w:val="center"/>
                                <w:rPr>
                                  <w:rFonts w:ascii="Century Gothic" w:hAnsi="Century Gothic"/>
                                  <w:b/>
                                  <w:sz w:val="20"/>
                                  <w:szCs w:val="20"/>
                                </w:rPr>
                              </w:pPr>
                              <w:r>
                                <w:rPr>
                                  <w:rFonts w:ascii="Century Gothic" w:hAnsi="Century Gothic"/>
                                  <w:b/>
                                  <w:sz w:val="20"/>
                                  <w:szCs w:val="20"/>
                                </w:rPr>
                                <w:t>ASAMBLEA GENERAL</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 name="Rectángulo redondeado 4"/>
                        <wps:cNvSpPr/>
                        <wps:spPr>
                          <a:xfrm>
                            <a:off x="0" y="742950"/>
                            <a:ext cx="1828800" cy="552450"/>
                          </a:xfrm>
                          <a:prstGeom prst="roundRect">
                            <a:avLst/>
                          </a:prstGeom>
                          <a:effectLst>
                            <a:glow rad="228600">
                              <a:schemeClr val="accent3">
                                <a:satMod val="175000"/>
                                <a:alpha val="40000"/>
                              </a:schemeClr>
                            </a:glow>
                          </a:effectLst>
                        </wps:spPr>
                        <wps:style>
                          <a:lnRef idx="2">
                            <a:schemeClr val="accent1"/>
                          </a:lnRef>
                          <a:fillRef idx="1">
                            <a:schemeClr val="lt1"/>
                          </a:fillRef>
                          <a:effectRef idx="0">
                            <a:schemeClr val="accent1"/>
                          </a:effectRef>
                          <a:fontRef idx="minor">
                            <a:schemeClr val="dk1"/>
                          </a:fontRef>
                        </wps:style>
                        <wps:txbx>
                          <w:txbxContent>
                            <w:p w14:paraId="3B683740">
                              <w:pPr>
                                <w:jc w:val="center"/>
                                <w:rPr>
                                  <w:rFonts w:ascii="Century Gothic" w:hAnsi="Century Gothic"/>
                                  <w:b/>
                                  <w:sz w:val="20"/>
                                  <w:szCs w:val="20"/>
                                </w:rPr>
                              </w:pPr>
                              <w:r>
                                <w:rPr>
                                  <w:rFonts w:ascii="Century Gothic" w:hAnsi="Century Gothic"/>
                                  <w:b/>
                                  <w:sz w:val="20"/>
                                  <w:szCs w:val="20"/>
                                </w:rPr>
                                <w:t>REVISORÍA FISCAL</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 name="Rectángulo redondeado 5"/>
                        <wps:cNvSpPr/>
                        <wps:spPr>
                          <a:xfrm>
                            <a:off x="1933575" y="1400175"/>
                            <a:ext cx="1828800" cy="552450"/>
                          </a:xfrm>
                          <a:prstGeom prst="roundRect">
                            <a:avLst/>
                          </a:prstGeom>
                          <a:effectLst>
                            <a:glow rad="228600">
                              <a:schemeClr val="accent3">
                                <a:satMod val="175000"/>
                                <a:alpha val="40000"/>
                              </a:schemeClr>
                            </a:glow>
                          </a:effectLst>
                        </wps:spPr>
                        <wps:style>
                          <a:lnRef idx="2">
                            <a:schemeClr val="accent1"/>
                          </a:lnRef>
                          <a:fillRef idx="1">
                            <a:schemeClr val="lt1"/>
                          </a:fillRef>
                          <a:effectRef idx="0">
                            <a:schemeClr val="accent1"/>
                          </a:effectRef>
                          <a:fontRef idx="minor">
                            <a:schemeClr val="dk1"/>
                          </a:fontRef>
                        </wps:style>
                        <wps:txbx>
                          <w:txbxContent>
                            <w:p w14:paraId="620D26D3">
                              <w:pPr>
                                <w:jc w:val="center"/>
                                <w:rPr>
                                  <w:rFonts w:ascii="Century Gothic" w:hAnsi="Century Gothic"/>
                                  <w:b/>
                                  <w:sz w:val="18"/>
                                  <w:szCs w:val="18"/>
                                </w:rPr>
                              </w:pPr>
                              <w:r>
                                <w:rPr>
                                  <w:rFonts w:ascii="Century Gothic" w:hAnsi="Century Gothic"/>
                                  <w:b/>
                                  <w:sz w:val="18"/>
                                  <w:szCs w:val="18"/>
                                </w:rPr>
                                <w:t>CONSEJO DE ADMINISTRACÍON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 name="Rectángulo redondeado 6"/>
                        <wps:cNvSpPr/>
                        <wps:spPr>
                          <a:xfrm>
                            <a:off x="1990725" y="2333625"/>
                            <a:ext cx="1828800" cy="552450"/>
                          </a:xfrm>
                          <a:prstGeom prst="roundRect">
                            <a:avLst/>
                          </a:prstGeom>
                          <a:effectLst>
                            <a:glow rad="228600">
                              <a:schemeClr val="accent3">
                                <a:satMod val="175000"/>
                                <a:alpha val="40000"/>
                              </a:schemeClr>
                            </a:glow>
                          </a:effectLst>
                        </wps:spPr>
                        <wps:style>
                          <a:lnRef idx="2">
                            <a:schemeClr val="accent1"/>
                          </a:lnRef>
                          <a:fillRef idx="1">
                            <a:schemeClr val="lt1"/>
                          </a:fillRef>
                          <a:effectRef idx="0">
                            <a:schemeClr val="accent1"/>
                          </a:effectRef>
                          <a:fontRef idx="minor">
                            <a:schemeClr val="dk1"/>
                          </a:fontRef>
                        </wps:style>
                        <wps:txbx>
                          <w:txbxContent>
                            <w:p w14:paraId="20B45339">
                              <w:pPr>
                                <w:jc w:val="center"/>
                                <w:rPr>
                                  <w:rFonts w:ascii="Century Gothic" w:hAnsi="Century Gothic"/>
                                  <w:b/>
                                  <w:sz w:val="18"/>
                                  <w:szCs w:val="18"/>
                                </w:rPr>
                              </w:pPr>
                              <w:r>
                                <w:rPr>
                                  <w:rFonts w:ascii="Century Gothic" w:hAnsi="Century Gothic"/>
                                  <w:b/>
                                  <w:sz w:val="18"/>
                                  <w:szCs w:val="18"/>
                                </w:rPr>
                                <w:t>GERENTE Y/O REPRESENTANTE LEGAL</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 name="Rectángulo redondeado 7"/>
                        <wps:cNvSpPr/>
                        <wps:spPr>
                          <a:xfrm>
                            <a:off x="1981200" y="3286125"/>
                            <a:ext cx="1828800" cy="552450"/>
                          </a:xfrm>
                          <a:prstGeom prst="roundRect">
                            <a:avLst/>
                          </a:prstGeom>
                          <a:effectLst>
                            <a:glow rad="228600">
                              <a:schemeClr val="accent3">
                                <a:satMod val="175000"/>
                                <a:alpha val="40000"/>
                              </a:schemeClr>
                            </a:glow>
                          </a:effectLst>
                        </wps:spPr>
                        <wps:style>
                          <a:lnRef idx="2">
                            <a:schemeClr val="accent1"/>
                          </a:lnRef>
                          <a:fillRef idx="1">
                            <a:schemeClr val="lt1"/>
                          </a:fillRef>
                          <a:effectRef idx="0">
                            <a:schemeClr val="accent1"/>
                          </a:effectRef>
                          <a:fontRef idx="minor">
                            <a:schemeClr val="dk1"/>
                          </a:fontRef>
                        </wps:style>
                        <wps:txbx>
                          <w:txbxContent>
                            <w:p w14:paraId="55D8825D">
                              <w:pPr>
                                <w:jc w:val="center"/>
                                <w:rPr>
                                  <w:rFonts w:ascii="Century Gothic" w:hAnsi="Century Gothic"/>
                                  <w:b/>
                                  <w:sz w:val="18"/>
                                  <w:szCs w:val="18"/>
                                </w:rPr>
                              </w:pPr>
                              <w:r>
                                <w:rPr>
                                  <w:rFonts w:ascii="Century Gothic" w:hAnsi="Century Gothic"/>
                                  <w:b/>
                                  <w:sz w:val="18"/>
                                  <w:szCs w:val="18"/>
                                </w:rPr>
                                <w:t>OFICIAL DE CUMPLIMIENTO</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 name="Abrir llave 8"/>
                        <wps:cNvSpPr/>
                        <wps:spPr>
                          <a:xfrm rot="10800000">
                            <a:off x="3695700" y="685800"/>
                            <a:ext cx="123826" cy="590549"/>
                          </a:xfrm>
                          <a:prstGeom prst="leftBrace">
                            <a:avLst/>
                          </a:prstGeom>
                          <a:ln w="28575">
                            <a:solidFill>
                              <a:schemeClr val="accent5">
                                <a:lumMod val="75000"/>
                              </a:schemeClr>
                            </a:solidFill>
                          </a:ln>
                        </wps:spPr>
                        <wps:style>
                          <a:lnRef idx="2">
                            <a:schemeClr val="accent5"/>
                          </a:lnRef>
                          <a:fillRef idx="0">
                            <a:schemeClr val="accent5"/>
                          </a:fillRef>
                          <a:effectRef idx="1">
                            <a:schemeClr val="accent5"/>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0" name="Rectángulo redondeado 20"/>
                        <wps:cNvSpPr/>
                        <wps:spPr>
                          <a:xfrm>
                            <a:off x="3905250" y="742950"/>
                            <a:ext cx="1111091" cy="457834"/>
                          </a:xfrm>
                          <a:prstGeom prst="roundRect">
                            <a:avLst/>
                          </a:prstGeom>
                          <a:ln>
                            <a:noFill/>
                          </a:ln>
                        </wps:spPr>
                        <wps:style>
                          <a:lnRef idx="2">
                            <a:schemeClr val="accent1"/>
                          </a:lnRef>
                          <a:fillRef idx="1">
                            <a:schemeClr val="lt1"/>
                          </a:fillRef>
                          <a:effectRef idx="0">
                            <a:schemeClr val="accent1"/>
                          </a:effectRef>
                          <a:fontRef idx="minor">
                            <a:schemeClr val="dk1"/>
                          </a:fontRef>
                        </wps:style>
                        <wps:txbx>
                          <w:txbxContent>
                            <w:p w14:paraId="2DC17F5D">
                              <w:pPr>
                                <w:jc w:val="center"/>
                                <w:rPr>
                                  <w:rFonts w:ascii="Century Gothic" w:hAnsi="Century Gothic"/>
                                  <w:b/>
                                  <w:sz w:val="14"/>
                                  <w:szCs w:val="14"/>
                                </w:rPr>
                              </w:pPr>
                              <w:r>
                                <w:rPr>
                                  <w:rFonts w:ascii="Century Gothic" w:hAnsi="Century Gothic"/>
                                  <w:b/>
                                  <w:sz w:val="14"/>
                                  <w:szCs w:val="14"/>
                                </w:rPr>
                                <w:t>Evalúa el SARLAFT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 name="Conector recto de flecha 22"/>
                        <wps:cNvCnPr/>
                        <wps:spPr>
                          <a:xfrm>
                            <a:off x="3810000" y="1733550"/>
                            <a:ext cx="257175" cy="0"/>
                          </a:xfrm>
                          <a:prstGeom prst="straightConnector1">
                            <a:avLst/>
                          </a:prstGeom>
                          <a:ln w="38100">
                            <a:solidFill>
                              <a:schemeClr val="accent5">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 name="Rectángulo redondeado 23"/>
                        <wps:cNvSpPr/>
                        <wps:spPr>
                          <a:xfrm>
                            <a:off x="4152900" y="1485900"/>
                            <a:ext cx="1447800" cy="466725"/>
                          </a:xfrm>
                          <a:prstGeom prst="roundRect">
                            <a:avLst/>
                          </a:prstGeom>
                          <a:ln>
                            <a:noFill/>
                          </a:ln>
                        </wps:spPr>
                        <wps:style>
                          <a:lnRef idx="2">
                            <a:schemeClr val="accent1"/>
                          </a:lnRef>
                          <a:fillRef idx="1">
                            <a:schemeClr val="lt1"/>
                          </a:fillRef>
                          <a:effectRef idx="0">
                            <a:schemeClr val="accent1"/>
                          </a:effectRef>
                          <a:fontRef idx="minor">
                            <a:schemeClr val="dk1"/>
                          </a:fontRef>
                        </wps:style>
                        <wps:txbx>
                          <w:txbxContent>
                            <w:p w14:paraId="73D62548">
                              <w:pPr>
                                <w:jc w:val="center"/>
                                <w:rPr>
                                  <w:rFonts w:ascii="Century Gothic" w:hAnsi="Century Gothic"/>
                                  <w:b/>
                                  <w:sz w:val="16"/>
                                  <w:szCs w:val="16"/>
                                </w:rPr>
                              </w:pPr>
                              <w:r>
                                <w:rPr>
                                  <w:rFonts w:ascii="Century Gothic" w:hAnsi="Century Gothic"/>
                                  <w:b/>
                                  <w:sz w:val="16"/>
                                  <w:szCs w:val="16"/>
                                </w:rPr>
                                <w:t>Aprueba Políticas y Asignan recursos</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 name="Conector recto 24"/>
                        <wps:cNvCnPr/>
                        <wps:spPr>
                          <a:xfrm>
                            <a:off x="2838450" y="552450"/>
                            <a:ext cx="0" cy="847725"/>
                          </a:xfrm>
                          <a:prstGeom prst="line">
                            <a:avLst/>
                          </a:prstGeom>
                          <a:ln w="19050">
                            <a:solidFill>
                              <a:schemeClr val="accent5">
                                <a:lumMod val="75000"/>
                              </a:schemeClr>
                            </a:solidFill>
                          </a:ln>
                          <a:effectLst>
                            <a:glow rad="635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wps:wsp>
                        <wps:cNvPr id="25" name="Conector recto 25"/>
                        <wps:cNvCnPr/>
                        <wps:spPr>
                          <a:xfrm>
                            <a:off x="1876425" y="990600"/>
                            <a:ext cx="952500" cy="0"/>
                          </a:xfrm>
                          <a:prstGeom prst="line">
                            <a:avLst/>
                          </a:prstGeom>
                          <a:ln w="19050">
                            <a:solidFill>
                              <a:schemeClr val="accent5">
                                <a:lumMod val="75000"/>
                              </a:schemeClr>
                            </a:solidFill>
                          </a:ln>
                          <a:effectLst>
                            <a:glow rad="635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wps:wsp>
                        <wps:cNvPr id="26" name="Rectángulo redondeado 26"/>
                        <wps:cNvSpPr/>
                        <wps:spPr>
                          <a:xfrm>
                            <a:off x="4152900" y="2419350"/>
                            <a:ext cx="1962150" cy="466725"/>
                          </a:xfrm>
                          <a:prstGeom prst="roundRect">
                            <a:avLst/>
                          </a:prstGeom>
                          <a:ln>
                            <a:noFill/>
                          </a:ln>
                        </wps:spPr>
                        <wps:style>
                          <a:lnRef idx="2">
                            <a:schemeClr val="accent1"/>
                          </a:lnRef>
                          <a:fillRef idx="1">
                            <a:schemeClr val="lt1"/>
                          </a:fillRef>
                          <a:effectRef idx="0">
                            <a:schemeClr val="accent1"/>
                          </a:effectRef>
                          <a:fontRef idx="minor">
                            <a:schemeClr val="dk1"/>
                          </a:fontRef>
                        </wps:style>
                        <wps:txbx>
                          <w:txbxContent>
                            <w:p w14:paraId="1F382C50">
                              <w:pPr>
                                <w:jc w:val="center"/>
                                <w:rPr>
                                  <w:rFonts w:ascii="Century Gothic" w:hAnsi="Century Gothic"/>
                                  <w:b/>
                                  <w:sz w:val="16"/>
                                  <w:szCs w:val="16"/>
                                </w:rPr>
                              </w:pPr>
                              <w:r>
                                <w:rPr>
                                  <w:rFonts w:ascii="Century Gothic" w:hAnsi="Century Gothic"/>
                                  <w:b/>
                                  <w:sz w:val="16"/>
                                  <w:szCs w:val="16"/>
                                </w:rPr>
                                <w:t>Ejecuta Políticas – Apoya la Administración del SARLAFT</w:t>
                              </w:r>
                            </w:p>
                            <w:p w14:paraId="4908C0EB">
                              <w:pPr>
                                <w:jc w:val="center"/>
                                <w:rPr>
                                  <w:rFonts w:ascii="Century Gothic" w:hAnsi="Century Gothic"/>
                                  <w:b/>
                                  <w:sz w:val="18"/>
                                  <w:szCs w:val="1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 name="Conector recto 27"/>
                        <wps:cNvCnPr/>
                        <wps:spPr>
                          <a:xfrm>
                            <a:off x="2838450" y="1952625"/>
                            <a:ext cx="0" cy="381000"/>
                          </a:xfrm>
                          <a:prstGeom prst="line">
                            <a:avLst/>
                          </a:prstGeom>
                          <a:ln w="19050">
                            <a:solidFill>
                              <a:schemeClr val="accent5">
                                <a:lumMod val="75000"/>
                              </a:schemeClr>
                            </a:solidFill>
                          </a:ln>
                          <a:effectLst>
                            <a:glow rad="635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wps:wsp>
                        <wps:cNvPr id="28" name="Conector recto 28"/>
                        <wps:cNvCnPr/>
                        <wps:spPr>
                          <a:xfrm>
                            <a:off x="2876550" y="2886075"/>
                            <a:ext cx="0" cy="381000"/>
                          </a:xfrm>
                          <a:prstGeom prst="line">
                            <a:avLst/>
                          </a:prstGeom>
                          <a:ln w="19050">
                            <a:solidFill>
                              <a:schemeClr val="accent5">
                                <a:lumMod val="75000"/>
                              </a:schemeClr>
                            </a:solidFill>
                          </a:ln>
                          <a:effectLst>
                            <a:glow rad="635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wps:wsp>
                        <wps:cNvPr id="30" name="Rectángulo redondeado 30"/>
                        <wps:cNvSpPr/>
                        <wps:spPr>
                          <a:xfrm>
                            <a:off x="4229100" y="3286125"/>
                            <a:ext cx="1447800" cy="466725"/>
                          </a:xfrm>
                          <a:prstGeom prst="roundRect">
                            <a:avLst/>
                          </a:prstGeom>
                          <a:ln>
                            <a:noFill/>
                          </a:ln>
                        </wps:spPr>
                        <wps:style>
                          <a:lnRef idx="2">
                            <a:schemeClr val="accent1"/>
                          </a:lnRef>
                          <a:fillRef idx="1">
                            <a:schemeClr val="lt1"/>
                          </a:fillRef>
                          <a:effectRef idx="0">
                            <a:schemeClr val="accent1"/>
                          </a:effectRef>
                          <a:fontRef idx="minor">
                            <a:schemeClr val="dk1"/>
                          </a:fontRef>
                        </wps:style>
                        <wps:txbx>
                          <w:txbxContent>
                            <w:p w14:paraId="2CCC697D">
                              <w:pPr>
                                <w:jc w:val="center"/>
                                <w:rPr>
                                  <w:rFonts w:ascii="Century Gothic" w:hAnsi="Century Gothic"/>
                                  <w:b/>
                                  <w:sz w:val="16"/>
                                  <w:szCs w:val="16"/>
                                </w:rPr>
                              </w:pPr>
                              <w:r>
                                <w:rPr>
                                  <w:rFonts w:ascii="Century Gothic" w:hAnsi="Century Gothic"/>
                                  <w:b/>
                                  <w:sz w:val="16"/>
                                  <w:szCs w:val="16"/>
                                </w:rPr>
                                <w:t>Administra el SARLAFT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 name="Rectángulo redondeado 31"/>
                        <wps:cNvSpPr/>
                        <wps:spPr>
                          <a:xfrm>
                            <a:off x="1990725" y="4267200"/>
                            <a:ext cx="1828800" cy="552450"/>
                          </a:xfrm>
                          <a:prstGeom prst="roundRect">
                            <a:avLst/>
                          </a:prstGeom>
                          <a:effectLst>
                            <a:glow rad="228600">
                              <a:schemeClr val="accent3">
                                <a:satMod val="175000"/>
                                <a:alpha val="40000"/>
                              </a:schemeClr>
                            </a:glow>
                          </a:effectLst>
                        </wps:spPr>
                        <wps:style>
                          <a:lnRef idx="2">
                            <a:schemeClr val="accent1"/>
                          </a:lnRef>
                          <a:fillRef idx="1">
                            <a:schemeClr val="lt1"/>
                          </a:fillRef>
                          <a:effectRef idx="0">
                            <a:schemeClr val="accent1"/>
                          </a:effectRef>
                          <a:fontRef idx="minor">
                            <a:schemeClr val="dk1"/>
                          </a:fontRef>
                        </wps:style>
                        <wps:txbx>
                          <w:txbxContent>
                            <w:p w14:paraId="0EFC659A">
                              <w:pPr>
                                <w:jc w:val="center"/>
                                <w:rPr>
                                  <w:rFonts w:ascii="Century Gothic" w:hAnsi="Century Gothic"/>
                                  <w:b/>
                                  <w:sz w:val="18"/>
                                  <w:szCs w:val="18"/>
                                </w:rPr>
                              </w:pPr>
                              <w:r>
                                <w:rPr>
                                  <w:rFonts w:ascii="Century Gothic" w:hAnsi="Century Gothic"/>
                                  <w:b/>
                                  <w:sz w:val="18"/>
                                  <w:szCs w:val="18"/>
                                </w:rPr>
                                <w:t>ÁREAS ASISTENCIALES Y/U OPERATIVAS</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2" name="Conector recto 32"/>
                        <wps:cNvCnPr/>
                        <wps:spPr>
                          <a:xfrm>
                            <a:off x="2924175" y="3838575"/>
                            <a:ext cx="0" cy="381000"/>
                          </a:xfrm>
                          <a:prstGeom prst="line">
                            <a:avLst/>
                          </a:prstGeom>
                          <a:ln w="19050">
                            <a:solidFill>
                              <a:schemeClr val="accent5">
                                <a:lumMod val="75000"/>
                              </a:schemeClr>
                            </a:solidFill>
                          </a:ln>
                          <a:effectLst>
                            <a:glow rad="635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wps:wsp>
                        <wps:cNvPr id="10" name="Rectángulo redondeado 33"/>
                        <wps:cNvSpPr/>
                        <wps:spPr>
                          <a:xfrm>
                            <a:off x="4286250" y="4352925"/>
                            <a:ext cx="1447800" cy="466725"/>
                          </a:xfrm>
                          <a:prstGeom prst="roundRect">
                            <a:avLst/>
                          </a:prstGeom>
                          <a:ln>
                            <a:noFill/>
                          </a:ln>
                        </wps:spPr>
                        <wps:style>
                          <a:lnRef idx="2">
                            <a:schemeClr val="accent1"/>
                          </a:lnRef>
                          <a:fillRef idx="1">
                            <a:schemeClr val="lt1"/>
                          </a:fillRef>
                          <a:effectRef idx="0">
                            <a:schemeClr val="accent1"/>
                          </a:effectRef>
                          <a:fontRef idx="minor">
                            <a:schemeClr val="dk1"/>
                          </a:fontRef>
                        </wps:style>
                        <wps:txbx>
                          <w:txbxContent>
                            <w:p w14:paraId="3EE67BF0">
                              <w:pPr>
                                <w:jc w:val="center"/>
                                <w:rPr>
                                  <w:rFonts w:ascii="Century Gothic" w:hAnsi="Century Gothic"/>
                                  <w:b/>
                                  <w:sz w:val="16"/>
                                  <w:szCs w:val="16"/>
                                </w:rPr>
                              </w:pPr>
                              <w:r>
                                <w:rPr>
                                  <w:rFonts w:ascii="Century Gothic" w:hAnsi="Century Gothic"/>
                                  <w:b/>
                                  <w:sz w:val="16"/>
                                  <w:szCs w:val="16"/>
                                </w:rPr>
                                <w:t>Aplican las políticas y procedimientos  LA/FT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 name="Conector recto de flecha 34"/>
                        <wps:cNvCnPr/>
                        <wps:spPr>
                          <a:xfrm>
                            <a:off x="3819525" y="2628900"/>
                            <a:ext cx="257175" cy="0"/>
                          </a:xfrm>
                          <a:prstGeom prst="straightConnector1">
                            <a:avLst/>
                          </a:prstGeom>
                          <a:ln w="38100">
                            <a:solidFill>
                              <a:schemeClr val="accent5">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 name="Conector recto de flecha 35"/>
                        <wps:cNvCnPr/>
                        <wps:spPr>
                          <a:xfrm>
                            <a:off x="3895725" y="3590925"/>
                            <a:ext cx="257175" cy="0"/>
                          </a:xfrm>
                          <a:prstGeom prst="straightConnector1">
                            <a:avLst/>
                          </a:prstGeom>
                          <a:ln w="38100">
                            <a:solidFill>
                              <a:schemeClr val="accent5">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 name="Conector recto de flecha 36"/>
                        <wps:cNvCnPr/>
                        <wps:spPr>
                          <a:xfrm>
                            <a:off x="3933825" y="4572000"/>
                            <a:ext cx="257175" cy="0"/>
                          </a:xfrm>
                          <a:prstGeom prst="straightConnector1">
                            <a:avLst/>
                          </a:prstGeom>
                          <a:ln w="38100">
                            <a:solidFill>
                              <a:schemeClr val="accent5">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4.35pt;margin-top:0.05pt;height:279.8pt;width:433.15pt;z-index:251664384;mso-width-relative:page;mso-height-relative:page;" coordsize="6115050,4819650" o:gfxdata="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">
                <o:lock v:ext="edit" aspectratio="f"/>
                <v:roundrect id="_x0000_s1026" o:spid="_x0000_s1026" o:spt="2" style="position:absolute;left:1876425;top:0;height:552450;width:1828800;v-text-anchor:middle;" fillcolor="#FFFFFF [3201]" filled="t" stroked="t" coordsize="21600,21600" arcsize="0.166666666666667" o:gfxdata="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GN1EugAAANoA&#10;AAAPAAAAAAAAAAEAIAAAACIAAABkcnMvZG93bnJldi54bWxQSwECFAAUAAAACACHTuJAMy8FnjsA&#10;AAA5AAAAEAAAAAAAAAABACAAAAAJAQAAZHJzL3NoYXBleG1sLnhtbFBLBQYAAAAABgAGAFsBAACz&#10;AwAAAAA=&#10;">
                  <v:fill on="t" focussize="0,0"/>
                  <v:stroke weight="1pt" color="#5B9BD5 [3204]" miterlimit="8" joinstyle="miter"/>
                  <v:imagedata o:title=""/>
                  <o:lock v:ext="edit" aspectratio="f"/>
                  <v:textbox>
                    <w:txbxContent>
                      <w:p w14:paraId="1071CC7C">
                        <w:pPr>
                          <w:jc w:val="center"/>
                          <w:rPr>
                            <w:rFonts w:ascii="Century Gothic" w:hAnsi="Century Gothic"/>
                            <w:b/>
                            <w:sz w:val="20"/>
                            <w:szCs w:val="20"/>
                          </w:rPr>
                        </w:pPr>
                        <w:r>
                          <w:rPr>
                            <w:rFonts w:ascii="Century Gothic" w:hAnsi="Century Gothic"/>
                            <w:b/>
                            <w:sz w:val="20"/>
                            <w:szCs w:val="20"/>
                          </w:rPr>
                          <w:t>ASAMBLEA GENERAL</w:t>
                        </w:r>
                      </w:p>
                    </w:txbxContent>
                  </v:textbox>
                </v:roundrect>
                <v:roundrect id="_x0000_s1026" o:spid="_x0000_s1026" o:spt="2" style="position:absolute;left:0;top:742950;height:552450;width:1828800;v-text-anchor:middle;" fillcolor="#FFFFFF [3201]" filled="t" stroked="t" coordsize="21600,21600" arcsize="0.166666666666667" o:gfxdata="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rxRTC8AAAA&#10;2gAAAA8AAAAAAAAAAQAgAAAAIgAAAGRycy9kb3ducmV2LnhtbFBLAQIUABQAAAAIAIdO4kAzLwWe&#10;OwAAADkAAAAQAAAAAAAAAAEAIAAAAAsBAABkcnMvc2hhcGV4bWwueG1sUEsFBgAAAAAGAAYAWwEA&#10;ALUDAAAAAA==&#10;">
                  <v:fill on="t" focussize="0,0"/>
                  <v:stroke weight="1pt" color="#5B9BD5 [3204]" miterlimit="8" joinstyle="miter"/>
                  <v:imagedata o:title=""/>
                  <o:lock v:ext="edit" aspectratio="f"/>
                  <v:textbox>
                    <w:txbxContent>
                      <w:p w14:paraId="3B683740">
                        <w:pPr>
                          <w:jc w:val="center"/>
                          <w:rPr>
                            <w:rFonts w:ascii="Century Gothic" w:hAnsi="Century Gothic"/>
                            <w:b/>
                            <w:sz w:val="20"/>
                            <w:szCs w:val="20"/>
                          </w:rPr>
                        </w:pPr>
                        <w:r>
                          <w:rPr>
                            <w:rFonts w:ascii="Century Gothic" w:hAnsi="Century Gothic"/>
                            <w:b/>
                            <w:sz w:val="20"/>
                            <w:szCs w:val="20"/>
                          </w:rPr>
                          <w:t>REVISORÍA FISCAL</w:t>
                        </w:r>
                      </w:p>
                    </w:txbxContent>
                  </v:textbox>
                </v:roundrect>
                <v:roundrect id="_x0000_s1026" o:spid="_x0000_s1026" o:spt="2" style="position:absolute;left:1933575;top:1400175;height:552450;width:1828800;v-text-anchor:middle;" fillcolor="#FFFFFF [3201]" filled="t" stroked="t" coordsize="21600,21600" arcsize="0.166666666666667" o:gfxdata="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W94Ku8AAAA&#10;2gAAAA8AAAAAAAAAAQAgAAAAIgAAAGRycy9kb3ducmV2LnhtbFBLAQIUABQAAAAIAIdO4kAzLwWe&#10;OwAAADkAAAAQAAAAAAAAAAEAIAAAAAsBAABkcnMvc2hhcGV4bWwueG1sUEsFBgAAAAAGAAYAWwEA&#10;ALUDAAAAAA==&#10;">
                  <v:fill on="t" focussize="0,0"/>
                  <v:stroke weight="1pt" color="#5B9BD5 [3204]" miterlimit="8" joinstyle="miter"/>
                  <v:imagedata o:title=""/>
                  <o:lock v:ext="edit" aspectratio="f"/>
                  <v:textbox>
                    <w:txbxContent>
                      <w:p w14:paraId="620D26D3">
                        <w:pPr>
                          <w:jc w:val="center"/>
                          <w:rPr>
                            <w:rFonts w:ascii="Century Gothic" w:hAnsi="Century Gothic"/>
                            <w:b/>
                            <w:sz w:val="18"/>
                            <w:szCs w:val="18"/>
                          </w:rPr>
                        </w:pPr>
                        <w:r>
                          <w:rPr>
                            <w:rFonts w:ascii="Century Gothic" w:hAnsi="Century Gothic"/>
                            <w:b/>
                            <w:sz w:val="18"/>
                            <w:szCs w:val="18"/>
                          </w:rPr>
                          <w:t>CONSEJO DE ADMINISTRACÍON</w:t>
                        </w:r>
                      </w:p>
                    </w:txbxContent>
                  </v:textbox>
                </v:roundrect>
                <v:roundrect id="_x0000_s1026" o:spid="_x0000_s1026" o:spt="2" style="position:absolute;left:1990725;top:2333625;height:552450;width:1828800;v-text-anchor:middle;" fillcolor="#FFFFFF [3201]" filled="t" stroked="t" coordsize="21600,21600" arcsize="0.166666666666667" o:gfxdata="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Vvfty8AAAA&#10;2gAAAA8AAAAAAAAAAQAgAAAAIgAAAGRycy9kb3ducmV2LnhtbFBLAQIUABQAAAAIAIdO4kAzLwWe&#10;OwAAADkAAAAQAAAAAAAAAAEAIAAAAAsBAABkcnMvc2hhcGV4bWwueG1sUEsFBgAAAAAGAAYAWwEA&#10;ALUDAAAAAA==&#10;">
                  <v:fill on="t" focussize="0,0"/>
                  <v:stroke weight="1pt" color="#5B9BD5 [3204]" miterlimit="8" joinstyle="miter"/>
                  <v:imagedata o:title=""/>
                  <o:lock v:ext="edit" aspectratio="f"/>
                  <v:textbox>
                    <w:txbxContent>
                      <w:p w14:paraId="20B45339">
                        <w:pPr>
                          <w:jc w:val="center"/>
                          <w:rPr>
                            <w:rFonts w:ascii="Century Gothic" w:hAnsi="Century Gothic"/>
                            <w:b/>
                            <w:sz w:val="18"/>
                            <w:szCs w:val="18"/>
                          </w:rPr>
                        </w:pPr>
                        <w:r>
                          <w:rPr>
                            <w:rFonts w:ascii="Century Gothic" w:hAnsi="Century Gothic"/>
                            <w:b/>
                            <w:sz w:val="18"/>
                            <w:szCs w:val="18"/>
                          </w:rPr>
                          <w:t>GERENTE Y/O REPRESENTANTE LEGAL</w:t>
                        </w:r>
                      </w:p>
                    </w:txbxContent>
                  </v:textbox>
                </v:roundrect>
                <v:roundrect id="_x0000_s1026" o:spid="_x0000_s1026" o:spt="2" style="position:absolute;left:1981200;top:3286125;height:552450;width:1828800;v-text-anchor:middle;" fillcolor="#FFFFFF [3201]" filled="t" stroked="t" coordsize="21600,21600" arcsize="0.166666666666667" o:gfxdata="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6I9tHugAAANoA&#10;AAAPAAAAAAAAAAEAIAAAACIAAABkcnMvZG93bnJldi54bWxQSwECFAAUAAAACACHTuJAMy8FnjsA&#10;AAA5AAAAEAAAAAAAAAABACAAAAAJAQAAZHJzL3NoYXBleG1sLnhtbFBLBQYAAAAABgAGAFsBAACz&#10;AwAAAAA=&#10;">
                  <v:fill on="t" focussize="0,0"/>
                  <v:stroke weight="1pt" color="#5B9BD5 [3204]" miterlimit="8" joinstyle="miter"/>
                  <v:imagedata o:title=""/>
                  <o:lock v:ext="edit" aspectratio="f"/>
                  <v:textbox>
                    <w:txbxContent>
                      <w:p w14:paraId="55D8825D">
                        <w:pPr>
                          <w:jc w:val="center"/>
                          <w:rPr>
                            <w:rFonts w:ascii="Century Gothic" w:hAnsi="Century Gothic"/>
                            <w:b/>
                            <w:sz w:val="18"/>
                            <w:szCs w:val="18"/>
                          </w:rPr>
                        </w:pPr>
                        <w:r>
                          <w:rPr>
                            <w:rFonts w:ascii="Century Gothic" w:hAnsi="Century Gothic"/>
                            <w:b/>
                            <w:sz w:val="18"/>
                            <w:szCs w:val="18"/>
                          </w:rPr>
                          <w:t>OFICIAL DE CUMPLIMIENTO</w:t>
                        </w:r>
                      </w:p>
                    </w:txbxContent>
                  </v:textbox>
                </v:roundrect>
                <v:shape id="Abrir llave 8" o:spid="_x0000_s1026" o:spt="87" type="#_x0000_t87" style="position:absolute;left:3695700;top:685800;height:590549;width:123826;rotation:11796480f;v-text-anchor:middle;" filled="f" stroked="t" coordsize="21600,21600" o:gfxdata="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8ClvC5AAAA2gAA&#10;AA8AAAAAAAAAAQAgAAAAIgAAAGRycy9kb3ducmV2LnhtbFBLAQIUABQAAAAIAIdO4kAzLwWeOwAA&#10;ADkAAAAQAAAAAAAAAAEAIAAAAAgBAABkcnMvc2hhcGV4bWwueG1sUEsFBgAAAAAGAAYAWwEAALID&#10;AAAAAA==&#10;" adj="377,10800">
                  <v:fill on="f" focussize="0,0"/>
                  <v:stroke weight="2.25pt" color="#2F5597 [2408]" miterlimit="8" joinstyle="miter"/>
                  <v:imagedata o:title=""/>
                  <o:lock v:ext="edit" aspectratio="f"/>
                </v:shape>
                <v:roundrect id="_x0000_s1026" o:spid="_x0000_s1026" o:spt="2" style="position:absolute;left:3905250;top:742950;height:457834;width:1111091;v-text-anchor:middle;" fillcolor="#FFFFFF [3201]" filled="t" stroked="f" coordsize="21600,21600" arcsize="0.166666666666667" o:gfxdata="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5f+022AAAA2wAAAA8A&#10;AAAAAAAAAQAgAAAAIgAAAGRycy9kb3ducmV2LnhtbFBLAQIUABQAAAAIAIdO4kAzLwWeOwAAADkA&#10;AAAQAAAAAAAAAAEAIAAAAAUBAABkcnMvc2hhcGV4bWwueG1sUEsFBgAAAAAGAAYAWwEAAK8DAAAA&#10;AA==&#10;">
                  <v:fill on="t" focussize="0,0"/>
                  <v:stroke on="f" weight="1pt" miterlimit="8" joinstyle="miter"/>
                  <v:imagedata o:title=""/>
                  <o:lock v:ext="edit" aspectratio="f"/>
                  <v:textbox>
                    <w:txbxContent>
                      <w:p w14:paraId="2DC17F5D">
                        <w:pPr>
                          <w:jc w:val="center"/>
                          <w:rPr>
                            <w:rFonts w:ascii="Century Gothic" w:hAnsi="Century Gothic"/>
                            <w:b/>
                            <w:sz w:val="14"/>
                            <w:szCs w:val="14"/>
                          </w:rPr>
                        </w:pPr>
                        <w:r>
                          <w:rPr>
                            <w:rFonts w:ascii="Century Gothic" w:hAnsi="Century Gothic"/>
                            <w:b/>
                            <w:sz w:val="14"/>
                            <w:szCs w:val="14"/>
                          </w:rPr>
                          <w:t>Evalúa el SARLAFT</w:t>
                        </w:r>
                      </w:p>
                    </w:txbxContent>
                  </v:textbox>
                </v:roundrect>
                <v:shape id="Conector recto de flecha 22" o:spid="_x0000_s1026" o:spt="32" type="#_x0000_t32" style="position:absolute;left:3810000;top:1733550;height:0;width:257175;" filled="f" stroked="t" coordsize="21600,21600" o:gfxdata="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oDKz+8AAAA&#10;2gAAAA8AAAAAAAAAAQAgAAAAIgAAAGRycy9kb3ducmV2LnhtbFBLAQIUABQAAAAIAIdO4kAzLwWe&#10;OwAAADkAAAAQAAAAAAAAAAEAIAAAAAsBAABkcnMvc2hhcGV4bWwueG1sUEsFBgAAAAAGAAYAWwEA&#10;ALUDAAAAAA==&#10;">
                  <v:fill on="f" focussize="0,0"/>
                  <v:stroke weight="3pt" color="#2F5597 [2408]" miterlimit="8" joinstyle="miter" endarrow="block"/>
                  <v:imagedata o:title=""/>
                  <o:lock v:ext="edit" aspectratio="f"/>
                </v:shape>
                <v:roundrect id="_x0000_s1026" o:spid="_x0000_s1026" o:spt="2" style="position:absolute;left:4152900;top:1485900;height:466725;width:1447800;v-text-anchor:middle;" fillcolor="#FFFFFF [3201]" filled="t" stroked="f" coordsize="21600,21600" arcsize="0.166666666666667" o:gfxdata="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6NZTq5AAAA2wAA&#10;AA8AAAAAAAAAAQAgAAAAIgAAAGRycy9kb3ducmV2LnhtbFBLAQIUABQAAAAIAIdO4kAzLwWeOwAA&#10;ADkAAAAQAAAAAAAAAAEAIAAAAAgBAABkcnMvc2hhcGV4bWwueG1sUEsFBgAAAAAGAAYAWwEAALID&#10;AAAAAA==&#10;">
                  <v:fill on="t" focussize="0,0"/>
                  <v:stroke on="f" weight="1pt" miterlimit="8" joinstyle="miter"/>
                  <v:imagedata o:title=""/>
                  <o:lock v:ext="edit" aspectratio="f"/>
                  <v:textbox>
                    <w:txbxContent>
                      <w:p w14:paraId="73D62548">
                        <w:pPr>
                          <w:jc w:val="center"/>
                          <w:rPr>
                            <w:rFonts w:ascii="Century Gothic" w:hAnsi="Century Gothic"/>
                            <w:b/>
                            <w:sz w:val="16"/>
                            <w:szCs w:val="16"/>
                          </w:rPr>
                        </w:pPr>
                        <w:r>
                          <w:rPr>
                            <w:rFonts w:ascii="Century Gothic" w:hAnsi="Century Gothic"/>
                            <w:b/>
                            <w:sz w:val="16"/>
                            <w:szCs w:val="16"/>
                          </w:rPr>
                          <w:t>Aprueba Políticas y Asignan recursos</w:t>
                        </w:r>
                      </w:p>
                    </w:txbxContent>
                  </v:textbox>
                </v:roundrect>
                <v:line id="_x0000_s1026" o:spid="_x0000_s1026" o:spt="20" style="position:absolute;left:2838450;top:552450;height:847725;width:0;" filled="f" stroked="t" coordsize="21600,21600" o:gfxdata="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B5lqvQAA&#10;ANsAAAAPAAAAAAAAAAEAIAAAACIAAABkcnMvZG93bnJldi54bWxQSwECFAAUAAAACACHTuJAMy8F&#10;njsAAAA5AAAAEAAAAAAAAAABACAAAAAMAQAAZHJzL3NoYXBleG1sLnhtbFBLBQYAAAAABgAGAFsB&#10;AAC2AwAAAAA=&#10;">
                  <v:fill on="f" focussize="0,0"/>
                  <v:stroke weight="1.5pt" color="#2F5597 [2408]" miterlimit="8" joinstyle="miter"/>
                  <v:imagedata o:title=""/>
                  <o:lock v:ext="edit" aspectratio="f"/>
                </v:line>
                <v:line id="_x0000_s1026" o:spid="_x0000_s1026" o:spt="20" style="position:absolute;left:1876425;top:990600;height:0;width:952500;" filled="f" stroked="t" coordsize="21600,21600" o:gfxdata="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SzzxvQAA&#10;ANsAAAAPAAAAAAAAAAEAIAAAACIAAABkcnMvZG93bnJldi54bWxQSwECFAAUAAAACACHTuJAMy8F&#10;njsAAAA5AAAAEAAAAAAAAAABACAAAAAMAQAAZHJzL3NoYXBleG1sLnhtbFBLBQYAAAAABgAGAFsB&#10;AAC2AwAAAAA=&#10;">
                  <v:fill on="f" focussize="0,0"/>
                  <v:stroke weight="1.5pt" color="#2F5597 [2408]" miterlimit="8" joinstyle="miter"/>
                  <v:imagedata o:title=""/>
                  <o:lock v:ext="edit" aspectratio="f"/>
                </v:line>
                <v:roundrect id="_x0000_s1026" o:spid="_x0000_s1026" o:spt="2" style="position:absolute;left:4152900;top:2419350;height:466725;width:1962150;v-text-anchor:middle;" fillcolor="#FFFFFF [3201]" filled="t" stroked="f" coordsize="21600,21600" arcsize="0.166666666666667" o:gfxdata="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76xqK5AAAA2wAA&#10;AA8AAAAAAAAAAQAgAAAAIgAAAGRycy9kb3ducmV2LnhtbFBLAQIUABQAAAAIAIdO4kAzLwWeOwAA&#10;ADkAAAAQAAAAAAAAAAEAIAAAAAgBAABkcnMvc2hhcGV4bWwueG1sUEsFBgAAAAAGAAYAWwEAALID&#10;AAAAAA==&#10;">
                  <v:fill on="t" focussize="0,0"/>
                  <v:stroke on="f" weight="1pt" miterlimit="8" joinstyle="miter"/>
                  <v:imagedata o:title=""/>
                  <o:lock v:ext="edit" aspectratio="f"/>
                  <v:textbox>
                    <w:txbxContent>
                      <w:p w14:paraId="1F382C50">
                        <w:pPr>
                          <w:jc w:val="center"/>
                          <w:rPr>
                            <w:rFonts w:ascii="Century Gothic" w:hAnsi="Century Gothic"/>
                            <w:b/>
                            <w:sz w:val="16"/>
                            <w:szCs w:val="16"/>
                          </w:rPr>
                        </w:pPr>
                        <w:r>
                          <w:rPr>
                            <w:rFonts w:ascii="Century Gothic" w:hAnsi="Century Gothic"/>
                            <w:b/>
                            <w:sz w:val="16"/>
                            <w:szCs w:val="16"/>
                          </w:rPr>
                          <w:t>Ejecuta Políticas – Apoya la Administración del SARLAFT</w:t>
                        </w:r>
                      </w:p>
                      <w:p w14:paraId="4908C0EB">
                        <w:pPr>
                          <w:jc w:val="center"/>
                          <w:rPr>
                            <w:rFonts w:ascii="Century Gothic" w:hAnsi="Century Gothic"/>
                            <w:b/>
                            <w:sz w:val="18"/>
                            <w:szCs w:val="18"/>
                          </w:rPr>
                        </w:pPr>
                      </w:p>
                    </w:txbxContent>
                  </v:textbox>
                </v:roundrect>
                <v:line id="_x0000_s1026" o:spid="_x0000_s1026" o:spt="20" style="position:absolute;left:2838450;top:1952625;height:381000;width:0;" filled="f" stroked="t" coordsize="21600,21600" o:gfxdata="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1QcdvQAA&#10;ANsAAAAPAAAAAAAAAAEAIAAAACIAAABkcnMvZG93bnJldi54bWxQSwECFAAUAAAACACHTuJAMy8F&#10;njsAAAA5AAAAEAAAAAAAAAABACAAAAAMAQAAZHJzL3NoYXBleG1sLnhtbFBLBQYAAAAABgAGAFsB&#10;AAC2AwAAAAA=&#10;">
                  <v:fill on="f" focussize="0,0"/>
                  <v:stroke weight="1.5pt" color="#2F5597 [2408]" miterlimit="8" joinstyle="miter"/>
                  <v:imagedata o:title=""/>
                  <o:lock v:ext="edit" aspectratio="f"/>
                </v:line>
                <v:line id="_x0000_s1026" o:spid="_x0000_s1026" o:spt="20" style="position:absolute;left:2876550;top:2886075;height:381000;width:0;" filled="f" stroked="t" coordsize="21600,21600" o:gfxdata="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bSpNvugAAANsA&#10;AAAPAAAAAAAAAAEAIAAAACIAAABkcnMvZG93bnJldi54bWxQSwECFAAUAAAACACHTuJAMy8FnjsA&#10;AAA5AAAAEAAAAAAAAAABACAAAAAJAQAAZHJzL3NoYXBleG1sLnhtbFBLBQYAAAAABgAGAFsBAACz&#10;AwAAAAA=&#10;">
                  <v:fill on="f" focussize="0,0"/>
                  <v:stroke weight="1.5pt" color="#2F5597 [2408]" miterlimit="8" joinstyle="miter"/>
                  <v:imagedata o:title=""/>
                  <o:lock v:ext="edit" aspectratio="f"/>
                </v:line>
                <v:roundrect id="_x0000_s1026" o:spid="_x0000_s1026" o:spt="2" style="position:absolute;left:4229100;top:3286125;height:466725;width:1447800;v-text-anchor:middle;" fillcolor="#FFFFFF [3201]" filled="t" stroked="f" coordsize="21600,21600" arcsize="0.166666666666667" o:gfxdata="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uGbZC2AAAA2wAAAA8A&#10;AAAAAAAAAQAgAAAAIgAAAGRycy9kb3ducmV2LnhtbFBLAQIUABQAAAAIAIdO4kAzLwWeOwAAADkA&#10;AAAQAAAAAAAAAAEAIAAAAAUBAABkcnMvc2hhcGV4bWwueG1sUEsFBgAAAAAGAAYAWwEAAK8DAAAA&#10;AA==&#10;">
                  <v:fill on="t" focussize="0,0"/>
                  <v:stroke on="f" weight="1pt" miterlimit="8" joinstyle="miter"/>
                  <v:imagedata o:title=""/>
                  <o:lock v:ext="edit" aspectratio="f"/>
                  <v:textbox>
                    <w:txbxContent>
                      <w:p w14:paraId="2CCC697D">
                        <w:pPr>
                          <w:jc w:val="center"/>
                          <w:rPr>
                            <w:rFonts w:ascii="Century Gothic" w:hAnsi="Century Gothic"/>
                            <w:b/>
                            <w:sz w:val="16"/>
                            <w:szCs w:val="16"/>
                          </w:rPr>
                        </w:pPr>
                        <w:r>
                          <w:rPr>
                            <w:rFonts w:ascii="Century Gothic" w:hAnsi="Century Gothic"/>
                            <w:b/>
                            <w:sz w:val="16"/>
                            <w:szCs w:val="16"/>
                          </w:rPr>
                          <w:t>Administra el SARLAFT</w:t>
                        </w:r>
                      </w:p>
                    </w:txbxContent>
                  </v:textbox>
                </v:roundrect>
                <v:roundrect id="Rectángulo redondeado 31" o:spid="_x0000_s1026" o:spt="2" style="position:absolute;left:1990725;top:4267200;height:552450;width:1828800;v-text-anchor:middle;" fillcolor="#FFFFFF [3201]" filled="t" stroked="t" coordsize="21600,21600" arcsize="0.166666666666667" o:gfxdata="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8OquugAAANoA&#10;AAAPAAAAAAAAAAEAIAAAACIAAABkcnMvZG93bnJldi54bWxQSwECFAAUAAAACACHTuJAMy8FnjsA&#10;AAA5AAAAEAAAAAAAAAABACAAAAAJAQAAZHJzL3NoYXBleG1sLnhtbFBLBQYAAAAABgAGAFsBAACz&#10;AwAAAAA=&#10;">
                  <v:fill on="t" focussize="0,0"/>
                  <v:stroke weight="1pt" color="#5B9BD5 [3204]" miterlimit="8" joinstyle="miter"/>
                  <v:imagedata o:title=""/>
                  <o:lock v:ext="edit" aspectratio="f"/>
                  <v:textbox>
                    <w:txbxContent>
                      <w:p w14:paraId="0EFC659A">
                        <w:pPr>
                          <w:jc w:val="center"/>
                          <w:rPr>
                            <w:rFonts w:ascii="Century Gothic" w:hAnsi="Century Gothic"/>
                            <w:b/>
                            <w:sz w:val="18"/>
                            <w:szCs w:val="18"/>
                          </w:rPr>
                        </w:pPr>
                        <w:r>
                          <w:rPr>
                            <w:rFonts w:ascii="Century Gothic" w:hAnsi="Century Gothic"/>
                            <w:b/>
                            <w:sz w:val="18"/>
                            <w:szCs w:val="18"/>
                          </w:rPr>
                          <w:t>ÁREAS ASISTENCIALES Y/U OPERATIVAS</w:t>
                        </w:r>
                      </w:p>
                    </w:txbxContent>
                  </v:textbox>
                </v:roundrect>
                <v:line id="_x0000_s1026" o:spid="_x0000_s1026" o:spt="20" style="position:absolute;left:2924175;top:3838575;height:381000;width:0;" filled="f" stroked="t" coordsize="21600,21600" o:gfxdata="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zJYvQAA&#10;ANsAAAAPAAAAAAAAAAEAIAAAACIAAABkcnMvZG93bnJldi54bWxQSwECFAAUAAAACACHTuJAMy8F&#10;njsAAAA5AAAAEAAAAAAAAAABACAAAAAMAQAAZHJzL3NoYXBleG1sLnhtbFBLBQYAAAAABgAGAFsB&#10;AAC2AwAAAAA=&#10;">
                  <v:fill on="f" focussize="0,0"/>
                  <v:stroke weight="1.5pt" color="#2F5597 [2408]" miterlimit="8" joinstyle="miter"/>
                  <v:imagedata o:title=""/>
                  <o:lock v:ext="edit" aspectratio="f"/>
                </v:line>
                <v:roundrect id="Rectángulo redondeado 33" o:spid="_x0000_s1026" o:spt="2" style="position:absolute;left:4286250;top:4352925;height:466725;width:1447800;v-text-anchor:middle;" fillcolor="#FFFFFF [3201]" filled="t" stroked="f" coordsize="21600,21600" arcsize="0.166666666666667" o:gfxdata="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MzHwvQAA&#10;ANsAAAAPAAAAAAAAAAEAIAAAACIAAABkcnMvZG93bnJldi54bWxQSwECFAAUAAAACACHTuJAMy8F&#10;njsAAAA5AAAAEAAAAAAAAAABACAAAAAMAQAAZHJzL3NoYXBleG1sLnhtbFBLBQYAAAAABgAGAFsB&#10;AAC2AwAAAAA=&#10;">
                  <v:fill on="t" focussize="0,0"/>
                  <v:stroke on="f" weight="1pt" miterlimit="8" joinstyle="miter"/>
                  <v:imagedata o:title=""/>
                  <o:lock v:ext="edit" aspectratio="f"/>
                  <v:textbox>
                    <w:txbxContent>
                      <w:p w14:paraId="3EE67BF0">
                        <w:pPr>
                          <w:jc w:val="center"/>
                          <w:rPr>
                            <w:rFonts w:ascii="Century Gothic" w:hAnsi="Century Gothic"/>
                            <w:b/>
                            <w:sz w:val="16"/>
                            <w:szCs w:val="16"/>
                          </w:rPr>
                        </w:pPr>
                        <w:r>
                          <w:rPr>
                            <w:rFonts w:ascii="Century Gothic" w:hAnsi="Century Gothic"/>
                            <w:b/>
                            <w:sz w:val="16"/>
                            <w:szCs w:val="16"/>
                          </w:rPr>
                          <w:t>Aplican las políticas y procedimientos  LA/FT</w:t>
                        </w:r>
                      </w:p>
                    </w:txbxContent>
                  </v:textbox>
                </v:roundrect>
                <v:shape id="Conector recto de flecha 34" o:spid="_x0000_s1026" o:spt="32" type="#_x0000_t32" style="position:absolute;left:3819525;top:2628900;height:0;width:257175;" filled="f" stroked="t" coordsize="21600,21600" o:gfxdata="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2oJWbsAAADb&#10;AAAADwAAAAAAAAABACAAAAAiAAAAZHJzL2Rvd25yZXYueG1sUEsBAhQAFAAAAAgAh07iQDMvBZ47&#10;AAAAOQAAABAAAAAAAAAAAQAgAAAACgEAAGRycy9zaGFwZXhtbC54bWxQSwUGAAAAAAYABgBbAQAA&#10;tAMAAAAA&#10;">
                  <v:fill on="f" focussize="0,0"/>
                  <v:stroke weight="3pt" color="#2F5597 [2408]" miterlimit="8" joinstyle="miter" endarrow="block"/>
                  <v:imagedata o:title=""/>
                  <o:lock v:ext="edit" aspectratio="f"/>
                </v:shape>
                <v:shape id="Conector recto de flecha 35" o:spid="_x0000_s1026" o:spt="32" type="#_x0000_t32" style="position:absolute;left:3895725;top:3590925;height:0;width:257175;" filled="f" stroked="t" coordsize="21600,21600" o:gfxdata="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PQytbsAAADb&#10;AAAADwAAAAAAAAABACAAAAAiAAAAZHJzL2Rvd25yZXYueG1sUEsBAhQAFAAAAAgAh07iQDMvBZ47&#10;AAAAOQAAABAAAAAAAAAAAQAgAAAACgEAAGRycy9zaGFwZXhtbC54bWxQSwUGAAAAAAYABgBbAQAA&#10;tAMAAAAA&#10;">
                  <v:fill on="f" focussize="0,0"/>
                  <v:stroke weight="3pt" color="#2F5597 [2408]" miterlimit="8" joinstyle="miter" endarrow="block"/>
                  <v:imagedata o:title=""/>
                  <o:lock v:ext="edit" aspectratio="f"/>
                </v:shape>
                <v:shape id="Conector recto de flecha 36" o:spid="_x0000_s1026" o:spt="32" type="#_x0000_t32" style="position:absolute;left:3933825;top:4572000;height:0;width:257175;" filled="f" stroked="t" coordsize="21600,21600" o:gfxdata="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2qwbsAAADb&#10;AAAADwAAAAAAAAABACAAAAAiAAAAZHJzL2Rvd25yZXYueG1sUEsBAhQAFAAAAAgAh07iQDMvBZ47&#10;AAAAOQAAABAAAAAAAAAAAQAgAAAACgEAAGRycy9zaGFwZXhtbC54bWxQSwUGAAAAAAYABgBbAQAA&#10;tAMAAAAA&#10;">
                  <v:fill on="f" focussize="0,0"/>
                  <v:stroke weight="3pt" color="#2F5597 [2408]" miterlimit="8" joinstyle="miter" endarrow="block"/>
                  <v:imagedata o:title=""/>
                  <o:lock v:ext="edit" aspectratio="f"/>
                </v:shape>
              </v:group>
            </w:pict>
          </mc:Fallback>
        </mc:AlternateContent>
      </w:r>
    </w:p>
    <w:p w14:paraId="25D5AC50">
      <w:pPr>
        <w:rPr>
          <w:rFonts w:ascii="Century Gothic" w:hAnsi="Century Gothic" w:cs="Arial"/>
          <w:sz w:val="22"/>
          <w:szCs w:val="22"/>
        </w:rPr>
      </w:pPr>
    </w:p>
    <w:p w14:paraId="11404172">
      <w:pPr>
        <w:contextualSpacing/>
        <w:rPr>
          <w:rFonts w:ascii="Century Gothic" w:hAnsi="Century Gothic" w:cs="ITC Franklin Gothic Std Book"/>
          <w:sz w:val="22"/>
          <w:szCs w:val="22"/>
        </w:rPr>
      </w:pPr>
    </w:p>
    <w:p w14:paraId="2E805CAC">
      <w:pPr>
        <w:autoSpaceDE w:val="0"/>
        <w:autoSpaceDN w:val="0"/>
        <w:adjustRightInd w:val="0"/>
        <w:rPr>
          <w:rFonts w:ascii="Century Gothic" w:hAnsi="Century Gothic" w:cs="Arial"/>
          <w:b/>
          <w:color w:val="2F5597" w:themeColor="accent5" w:themeShade="BF"/>
          <w:sz w:val="18"/>
          <w:szCs w:val="18"/>
          <w:lang w:val="es-ES"/>
        </w:rPr>
      </w:pPr>
    </w:p>
    <w:p w14:paraId="0D700343">
      <w:pPr>
        <w:autoSpaceDE w:val="0"/>
        <w:autoSpaceDN w:val="0"/>
        <w:adjustRightInd w:val="0"/>
        <w:rPr>
          <w:rFonts w:ascii="Century Gothic" w:hAnsi="Century Gothic" w:cs="Arial"/>
          <w:b/>
          <w:color w:val="2F5597" w:themeColor="accent5" w:themeShade="BF"/>
          <w:sz w:val="18"/>
          <w:szCs w:val="18"/>
          <w:lang w:val="es-ES"/>
        </w:rPr>
      </w:pPr>
    </w:p>
    <w:p w14:paraId="1D39CD7A">
      <w:pPr>
        <w:autoSpaceDE w:val="0"/>
        <w:autoSpaceDN w:val="0"/>
        <w:adjustRightInd w:val="0"/>
        <w:rPr>
          <w:rFonts w:ascii="Century Gothic" w:hAnsi="Century Gothic" w:cs="Arial"/>
          <w:b/>
          <w:color w:val="2F5597" w:themeColor="accent5" w:themeShade="BF"/>
          <w:sz w:val="18"/>
          <w:szCs w:val="18"/>
          <w:lang w:val="es-ES"/>
        </w:rPr>
      </w:pPr>
    </w:p>
    <w:p w14:paraId="4D8C7445">
      <w:pPr>
        <w:autoSpaceDE w:val="0"/>
        <w:autoSpaceDN w:val="0"/>
        <w:adjustRightInd w:val="0"/>
        <w:rPr>
          <w:rFonts w:ascii="Century Gothic" w:hAnsi="Century Gothic" w:cs="Arial"/>
          <w:b/>
          <w:color w:val="2F5597" w:themeColor="accent5" w:themeShade="BF"/>
          <w:sz w:val="18"/>
          <w:szCs w:val="18"/>
          <w:lang w:val="es-ES"/>
        </w:rPr>
      </w:pPr>
    </w:p>
    <w:p w14:paraId="205568B0">
      <w:pPr>
        <w:autoSpaceDE w:val="0"/>
        <w:autoSpaceDN w:val="0"/>
        <w:adjustRightInd w:val="0"/>
        <w:rPr>
          <w:rFonts w:ascii="Century Gothic" w:hAnsi="Century Gothic" w:cs="Arial"/>
          <w:b/>
          <w:color w:val="2F5597" w:themeColor="accent5" w:themeShade="BF"/>
          <w:sz w:val="18"/>
          <w:szCs w:val="18"/>
          <w:lang w:val="es-ES"/>
        </w:rPr>
      </w:pPr>
    </w:p>
    <w:p w14:paraId="079DF7D1">
      <w:pPr>
        <w:autoSpaceDE w:val="0"/>
        <w:autoSpaceDN w:val="0"/>
        <w:adjustRightInd w:val="0"/>
        <w:rPr>
          <w:rFonts w:ascii="Century Gothic" w:hAnsi="Century Gothic" w:cs="Arial"/>
          <w:b/>
          <w:color w:val="2F5597" w:themeColor="accent5" w:themeShade="BF"/>
          <w:sz w:val="18"/>
          <w:szCs w:val="18"/>
          <w:lang w:val="es-ES"/>
        </w:rPr>
      </w:pPr>
    </w:p>
    <w:p w14:paraId="5238B22A">
      <w:pPr>
        <w:autoSpaceDE w:val="0"/>
        <w:autoSpaceDN w:val="0"/>
        <w:adjustRightInd w:val="0"/>
        <w:rPr>
          <w:rFonts w:ascii="Century Gothic" w:hAnsi="Century Gothic" w:cs="Arial"/>
          <w:b/>
          <w:color w:val="2F5597" w:themeColor="accent5" w:themeShade="BF"/>
          <w:sz w:val="18"/>
          <w:szCs w:val="18"/>
          <w:lang w:val="es-ES"/>
        </w:rPr>
      </w:pPr>
    </w:p>
    <w:p w14:paraId="6417D9A9">
      <w:pPr>
        <w:autoSpaceDE w:val="0"/>
        <w:autoSpaceDN w:val="0"/>
        <w:adjustRightInd w:val="0"/>
        <w:rPr>
          <w:rFonts w:ascii="Century Gothic" w:hAnsi="Century Gothic" w:cs="Arial"/>
          <w:b/>
          <w:color w:val="385724" w:themeColor="accent6" w:themeShade="80"/>
          <w:sz w:val="22"/>
          <w:szCs w:val="22"/>
          <w:lang w:eastAsia="es-CO"/>
        </w:rPr>
      </w:pPr>
    </w:p>
    <w:p w14:paraId="2692761B">
      <w:pPr>
        <w:autoSpaceDE w:val="0"/>
        <w:autoSpaceDN w:val="0"/>
        <w:adjustRightInd w:val="0"/>
        <w:rPr>
          <w:rFonts w:ascii="Century Gothic" w:hAnsi="Century Gothic" w:cs="Arial"/>
          <w:b/>
          <w:color w:val="385724" w:themeColor="accent6" w:themeShade="80"/>
          <w:sz w:val="22"/>
          <w:szCs w:val="22"/>
          <w:lang w:eastAsia="es-CO"/>
        </w:rPr>
      </w:pPr>
    </w:p>
    <w:p w14:paraId="5BC9A706">
      <w:pPr>
        <w:autoSpaceDE w:val="0"/>
        <w:autoSpaceDN w:val="0"/>
        <w:adjustRightInd w:val="0"/>
        <w:rPr>
          <w:rFonts w:ascii="Century Gothic" w:hAnsi="Century Gothic" w:cs="Arial"/>
          <w:b/>
          <w:color w:val="385724" w:themeColor="accent6" w:themeShade="80"/>
          <w:sz w:val="22"/>
          <w:szCs w:val="22"/>
          <w:lang w:eastAsia="es-CO"/>
        </w:rPr>
      </w:pPr>
    </w:p>
    <w:p w14:paraId="62197A61">
      <w:pPr>
        <w:autoSpaceDE w:val="0"/>
        <w:autoSpaceDN w:val="0"/>
        <w:adjustRightInd w:val="0"/>
        <w:rPr>
          <w:rFonts w:ascii="Century Gothic" w:hAnsi="Century Gothic" w:cs="Arial"/>
          <w:b/>
          <w:color w:val="385724" w:themeColor="accent6" w:themeShade="80"/>
          <w:sz w:val="22"/>
          <w:szCs w:val="22"/>
          <w:lang w:eastAsia="es-CO"/>
        </w:rPr>
      </w:pPr>
    </w:p>
    <w:p w14:paraId="0678B5FB">
      <w:pPr>
        <w:autoSpaceDE w:val="0"/>
        <w:autoSpaceDN w:val="0"/>
        <w:adjustRightInd w:val="0"/>
        <w:rPr>
          <w:rFonts w:ascii="Century Gothic" w:hAnsi="Century Gothic" w:cs="Arial"/>
          <w:b/>
          <w:color w:val="385724" w:themeColor="accent6" w:themeShade="80"/>
          <w:sz w:val="22"/>
          <w:szCs w:val="22"/>
          <w:lang w:eastAsia="es-CO"/>
        </w:rPr>
      </w:pPr>
    </w:p>
    <w:p w14:paraId="5FEA1062">
      <w:pPr>
        <w:autoSpaceDE w:val="0"/>
        <w:autoSpaceDN w:val="0"/>
        <w:adjustRightInd w:val="0"/>
        <w:rPr>
          <w:rFonts w:ascii="Century Gothic" w:hAnsi="Century Gothic" w:cs="Arial"/>
          <w:b/>
          <w:color w:val="385724" w:themeColor="accent6" w:themeShade="80"/>
          <w:sz w:val="22"/>
          <w:szCs w:val="22"/>
          <w:lang w:eastAsia="es-CO"/>
        </w:rPr>
      </w:pPr>
    </w:p>
    <w:p w14:paraId="31837444">
      <w:pPr>
        <w:autoSpaceDE w:val="0"/>
        <w:autoSpaceDN w:val="0"/>
        <w:adjustRightInd w:val="0"/>
        <w:rPr>
          <w:rFonts w:ascii="Century Gothic" w:hAnsi="Century Gothic" w:cs="Arial"/>
          <w:b/>
          <w:color w:val="385724" w:themeColor="accent6" w:themeShade="80"/>
          <w:sz w:val="22"/>
          <w:szCs w:val="22"/>
          <w:lang w:eastAsia="es-CO"/>
        </w:rPr>
      </w:pPr>
    </w:p>
    <w:p w14:paraId="1B10276D">
      <w:pPr>
        <w:autoSpaceDE w:val="0"/>
        <w:autoSpaceDN w:val="0"/>
        <w:adjustRightInd w:val="0"/>
        <w:rPr>
          <w:rFonts w:ascii="Century Gothic" w:hAnsi="Century Gothic" w:cs="Arial"/>
          <w:b/>
          <w:color w:val="385724" w:themeColor="accent6" w:themeShade="80"/>
          <w:sz w:val="22"/>
          <w:szCs w:val="22"/>
          <w:lang w:eastAsia="es-CO"/>
        </w:rPr>
      </w:pPr>
    </w:p>
    <w:p w14:paraId="55C54874">
      <w:pPr>
        <w:autoSpaceDE w:val="0"/>
        <w:autoSpaceDN w:val="0"/>
        <w:adjustRightInd w:val="0"/>
        <w:rPr>
          <w:rFonts w:ascii="Century Gothic" w:hAnsi="Century Gothic" w:cs="Arial"/>
          <w:b/>
          <w:color w:val="385724" w:themeColor="accent6" w:themeShade="80"/>
          <w:sz w:val="22"/>
          <w:szCs w:val="22"/>
          <w:lang w:eastAsia="es-CO"/>
        </w:rPr>
      </w:pPr>
    </w:p>
    <w:p w14:paraId="2D3483AA">
      <w:pPr>
        <w:autoSpaceDE w:val="0"/>
        <w:autoSpaceDN w:val="0"/>
        <w:adjustRightInd w:val="0"/>
        <w:rPr>
          <w:rFonts w:ascii="Century Gothic" w:hAnsi="Century Gothic" w:cs="Arial"/>
          <w:b/>
          <w:bCs/>
          <w:sz w:val="22"/>
          <w:szCs w:val="22"/>
          <w:lang w:eastAsia="es-CO"/>
        </w:rPr>
      </w:pPr>
    </w:p>
    <w:p w14:paraId="17763724">
      <w:pPr>
        <w:autoSpaceDE w:val="0"/>
        <w:autoSpaceDN w:val="0"/>
        <w:adjustRightInd w:val="0"/>
        <w:rPr>
          <w:rFonts w:ascii="Century Gothic" w:hAnsi="Century Gothic" w:cs="Arial"/>
          <w:b/>
          <w:bCs/>
          <w:sz w:val="22"/>
          <w:szCs w:val="22"/>
          <w:lang w:eastAsia="es-CO"/>
        </w:rPr>
      </w:pPr>
    </w:p>
    <w:p w14:paraId="2D2E308D">
      <w:pPr>
        <w:autoSpaceDE w:val="0"/>
        <w:autoSpaceDN w:val="0"/>
        <w:adjustRightInd w:val="0"/>
        <w:rPr>
          <w:rFonts w:ascii="Century Gothic" w:hAnsi="Century Gothic" w:cs="Arial"/>
          <w:b/>
          <w:bCs/>
          <w:sz w:val="22"/>
          <w:szCs w:val="22"/>
          <w:lang w:eastAsia="es-CO"/>
        </w:rPr>
      </w:pPr>
    </w:p>
    <w:p w14:paraId="60096E35">
      <w:pPr>
        <w:autoSpaceDE w:val="0"/>
        <w:autoSpaceDN w:val="0"/>
        <w:adjustRightInd w:val="0"/>
        <w:rPr>
          <w:rFonts w:ascii="Century Gothic" w:hAnsi="Century Gothic" w:cs="Arial"/>
          <w:b/>
          <w:bCs/>
          <w:sz w:val="22"/>
          <w:szCs w:val="22"/>
          <w:lang w:eastAsia="es-CO"/>
        </w:rPr>
      </w:pPr>
    </w:p>
    <w:p w14:paraId="52ABE7D3">
      <w:pPr>
        <w:pStyle w:val="65"/>
        <w:numPr>
          <w:ilvl w:val="2"/>
          <w:numId w:val="8"/>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 xml:space="preserve"> ÓRGANOS DE CONTROL.</w:t>
      </w:r>
    </w:p>
    <w:p w14:paraId="27E9660A">
      <w:pPr>
        <w:autoSpaceDE w:val="0"/>
        <w:autoSpaceDN w:val="0"/>
        <w:adjustRightInd w:val="0"/>
        <w:rPr>
          <w:rFonts w:ascii="Century Gothic" w:hAnsi="Century Gothic" w:cs="Arial"/>
          <w:b/>
          <w:bCs/>
          <w:sz w:val="22"/>
          <w:szCs w:val="22"/>
          <w:lang w:eastAsia="es-CO"/>
        </w:rPr>
      </w:pPr>
    </w:p>
    <w:p w14:paraId="2C9D83DF">
      <w:pPr>
        <w:autoSpaceDE w:val="0"/>
        <w:autoSpaceDN w:val="0"/>
        <w:adjustRightInd w:val="0"/>
        <w:rPr>
          <w:rFonts w:ascii="Century Gothic" w:hAnsi="Century Gothic" w:cs="Arial"/>
          <w:b/>
          <w:bCs/>
          <w:sz w:val="22"/>
          <w:szCs w:val="22"/>
          <w:lang w:eastAsia="es-CO"/>
        </w:rPr>
      </w:pPr>
      <w:r>
        <w:rPr>
          <w:rFonts w:ascii="Century Gothic" w:hAnsi="Century Gothic" w:cs="Arial"/>
          <w:sz w:val="22"/>
          <w:szCs w:val="22"/>
        </w:rPr>
        <w:t>Los Órganos de Control estudiarán, analizarán y evaluarán la legislación y normas aplicables para la Entidad en materia de Lavado de Activos y Financiación del Terrorismo. Actualmente la Entidad solo cuenta con la Revisoría Fiscal, no existe auditoría interna, sin embargo se dejarán los lineamientos para esta última.</w:t>
      </w:r>
    </w:p>
    <w:p w14:paraId="63411C5D">
      <w:pPr>
        <w:pStyle w:val="65"/>
        <w:numPr>
          <w:ilvl w:val="3"/>
          <w:numId w:val="8"/>
        </w:numPr>
        <w:contextualSpacing/>
        <w:rPr>
          <w:rFonts w:ascii="Century Gothic" w:hAnsi="Century Gothic"/>
          <w:b/>
          <w:sz w:val="22"/>
          <w:szCs w:val="22"/>
        </w:rPr>
      </w:pPr>
      <w:r>
        <w:rPr>
          <w:rFonts w:ascii="Century Gothic" w:hAnsi="Century Gothic"/>
          <w:b/>
          <w:sz w:val="22"/>
          <w:szCs w:val="22"/>
        </w:rPr>
        <w:t>REVISORÍA FISCAL</w:t>
      </w:r>
    </w:p>
    <w:p w14:paraId="53EA000A">
      <w:pPr>
        <w:autoSpaceDE w:val="0"/>
        <w:autoSpaceDN w:val="0"/>
        <w:adjustRightInd w:val="0"/>
        <w:rPr>
          <w:rFonts w:cs="Arial"/>
          <w:b/>
          <w:bCs/>
          <w:lang w:val="es-ES" w:eastAsia="es-CO"/>
        </w:rPr>
      </w:pPr>
    </w:p>
    <w:p w14:paraId="3579064D">
      <w:pPr>
        <w:pStyle w:val="65"/>
        <w:numPr>
          <w:ilvl w:val="0"/>
          <w:numId w:val="71"/>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La Revisoría Fiscal realizará las funciones asignadas en el Estatuto, reglamentos y las asignadas a los contadores públicos en las normas que regulan al ejercicio de la profesión tal como lo disponen el artículo 4339 de la Ley 79 de 1988; artículo 4140 del Decreto 1481 de 1989 y artículo 40 del Decreto 1480 de 1989 y demás normas concordantes y complementarias.</w:t>
      </w:r>
    </w:p>
    <w:p w14:paraId="7EF393E8">
      <w:pPr>
        <w:pStyle w:val="65"/>
        <w:numPr>
          <w:ilvl w:val="0"/>
          <w:numId w:val="71"/>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La Revisoría Fiscal deberá actuar con sujeción a las normas de auditoría generalmente aceptadas, tal como lo dispone el numeral 2 del artículo 8 de la Ley 43 de 1990.</w:t>
      </w:r>
    </w:p>
    <w:p w14:paraId="617E269D">
      <w:pPr>
        <w:pStyle w:val="65"/>
        <w:rPr>
          <w:rFonts w:ascii="Century Gothic" w:hAnsi="Century Gothic" w:cs="Arial"/>
          <w:sz w:val="22"/>
          <w:szCs w:val="22"/>
          <w:lang w:eastAsia="es-CO"/>
        </w:rPr>
      </w:pPr>
    </w:p>
    <w:p w14:paraId="3F9C2E46">
      <w:pPr>
        <w:pStyle w:val="65"/>
        <w:numPr>
          <w:ilvl w:val="0"/>
          <w:numId w:val="71"/>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La Revisoría Fiscal (principal y suplente) deberá acreditar conocimiento en administración de riesgos. Para tal fin, aportarán a la Entidad  la siguiente información:</w:t>
      </w:r>
    </w:p>
    <w:p w14:paraId="65A81A14">
      <w:pPr>
        <w:pStyle w:val="65"/>
        <w:rPr>
          <w:rFonts w:ascii="Century Gothic" w:hAnsi="Century Gothic" w:cs="Arial"/>
          <w:sz w:val="22"/>
          <w:szCs w:val="22"/>
          <w:lang w:eastAsia="es-CO"/>
        </w:rPr>
      </w:pPr>
    </w:p>
    <w:p w14:paraId="7CFD6B9F">
      <w:pPr>
        <w:pStyle w:val="65"/>
        <w:numPr>
          <w:ilvl w:val="0"/>
          <w:numId w:val="72"/>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Certificación del curso e-learning de la UIAF en el módulo general.</w:t>
      </w:r>
    </w:p>
    <w:p w14:paraId="2116A45B">
      <w:pPr>
        <w:pStyle w:val="65"/>
        <w:numPr>
          <w:ilvl w:val="0"/>
          <w:numId w:val="72"/>
        </w:numPr>
        <w:autoSpaceDE w:val="0"/>
        <w:autoSpaceDN w:val="0"/>
        <w:adjustRightInd w:val="0"/>
        <w:rPr>
          <w:rFonts w:ascii="Century Gothic" w:hAnsi="Century Gothic" w:cs="Arial"/>
          <w:sz w:val="22"/>
          <w:szCs w:val="22"/>
          <w:lang w:eastAsia="es-CO"/>
        </w:rPr>
      </w:pPr>
      <w:r>
        <w:rPr>
          <w:rFonts w:ascii="Century Gothic" w:hAnsi="Century Gothic"/>
          <w:sz w:val="22"/>
          <w:szCs w:val="22"/>
        </w:rPr>
        <w:t>Certificación de estudios en materia de riesgos, que incluya un módulo LA/FT, expedida por una institución de educación superior, reconocida oficialmente por el Ministerio de Educación Nacional, con una duración mínima de 90 horas o expedida por una organización internacional.</w:t>
      </w:r>
    </w:p>
    <w:p w14:paraId="7CABF89E">
      <w:pPr>
        <w:pStyle w:val="65"/>
        <w:autoSpaceDE w:val="0"/>
        <w:autoSpaceDN w:val="0"/>
        <w:adjustRightInd w:val="0"/>
        <w:ind w:left="1353"/>
        <w:rPr>
          <w:rFonts w:ascii="Century Gothic" w:hAnsi="Century Gothic" w:cs="Arial"/>
          <w:sz w:val="22"/>
          <w:szCs w:val="22"/>
          <w:lang w:eastAsia="es-CO"/>
        </w:rPr>
      </w:pPr>
    </w:p>
    <w:p w14:paraId="6C6DC320">
      <w:pPr>
        <w:pStyle w:val="65"/>
        <w:numPr>
          <w:ilvl w:val="0"/>
          <w:numId w:val="73"/>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La Revisoría Fiscal velará por el cumplimiento de la Ley y colaborará con las autoridades. En consecuencia, deberá:</w:t>
      </w:r>
    </w:p>
    <w:p w14:paraId="49E39B09">
      <w:pPr>
        <w:pStyle w:val="65"/>
        <w:autoSpaceDE w:val="0"/>
        <w:autoSpaceDN w:val="0"/>
        <w:adjustRightInd w:val="0"/>
        <w:ind w:left="720"/>
        <w:rPr>
          <w:rFonts w:ascii="Century Gothic" w:hAnsi="Century Gothic" w:cs="Arial"/>
          <w:sz w:val="22"/>
          <w:szCs w:val="22"/>
          <w:lang w:eastAsia="es-CO"/>
        </w:rPr>
      </w:pPr>
    </w:p>
    <w:p w14:paraId="3BBF7E36">
      <w:pPr>
        <w:pStyle w:val="65"/>
        <w:numPr>
          <w:ilvl w:val="1"/>
          <w:numId w:val="74"/>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Evaluar el cumplimiento de las normas sobre LA/FT por parte de la organización solidaria vigilada.</w:t>
      </w:r>
    </w:p>
    <w:p w14:paraId="3C59C492">
      <w:pPr>
        <w:pStyle w:val="65"/>
        <w:numPr>
          <w:ilvl w:val="1"/>
          <w:numId w:val="74"/>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Presentar un informe trimestral al órgano permanente de administración sobre el resultado de su evaluación del cumplimiento de las normas e instrucciones contenidas en el SARLAFT.</w:t>
      </w:r>
    </w:p>
    <w:p w14:paraId="5AD6DE8B">
      <w:pPr>
        <w:pStyle w:val="65"/>
        <w:numPr>
          <w:ilvl w:val="1"/>
          <w:numId w:val="74"/>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Poner en conocimiento del oficial de cumplimiento, en forma inmediata, las inconsistencias y fallas detectadas en el SARLAFT y, en general, todo incumplimiento que detecte a las disposiciones que regulan la materia.</w:t>
      </w:r>
    </w:p>
    <w:p w14:paraId="00245B9B">
      <w:pPr>
        <w:pStyle w:val="65"/>
        <w:numPr>
          <w:ilvl w:val="1"/>
          <w:numId w:val="74"/>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Reportar a la UIAF las operaciones sospechosas que detecte en cumplimiento de su función de revisoría fiscal.</w:t>
      </w:r>
    </w:p>
    <w:p w14:paraId="0DDB0C5F">
      <w:pPr>
        <w:pStyle w:val="65"/>
        <w:numPr>
          <w:ilvl w:val="1"/>
          <w:numId w:val="74"/>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Las demás inherentes al cargo que guarden relación con SARLAFT.</w:t>
      </w:r>
    </w:p>
    <w:p w14:paraId="277661CB">
      <w:pPr>
        <w:autoSpaceDE w:val="0"/>
        <w:autoSpaceDN w:val="0"/>
        <w:adjustRightInd w:val="0"/>
        <w:rPr>
          <w:rFonts w:ascii="Century Gothic" w:hAnsi="Century Gothic" w:cs="Arial"/>
          <w:b/>
          <w:bCs/>
          <w:sz w:val="22"/>
          <w:szCs w:val="22"/>
          <w:lang w:eastAsia="es-CO"/>
        </w:rPr>
      </w:pPr>
    </w:p>
    <w:p w14:paraId="03928352">
      <w:pPr>
        <w:pStyle w:val="65"/>
        <w:numPr>
          <w:ilvl w:val="3"/>
          <w:numId w:val="8"/>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AUDITORÍA INTERNA</w:t>
      </w:r>
    </w:p>
    <w:p w14:paraId="26C48CEC">
      <w:pPr>
        <w:pStyle w:val="65"/>
        <w:autoSpaceDE w:val="0"/>
        <w:autoSpaceDN w:val="0"/>
        <w:adjustRightInd w:val="0"/>
        <w:ind w:left="360"/>
        <w:rPr>
          <w:rFonts w:ascii="Century Gothic" w:hAnsi="Century Gothic" w:cs="Arial"/>
          <w:b/>
          <w:bCs/>
          <w:sz w:val="22"/>
          <w:szCs w:val="22"/>
          <w:lang w:eastAsia="es-CO"/>
        </w:rPr>
      </w:pPr>
    </w:p>
    <w:p w14:paraId="5D5F130C">
      <w:p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Si bien el diseño y aplicación de los mecanismos de control es responsabilidad de los órganos de administración de cada organización. En el evento que la Entidad llegaré a tener Auditoría Interna, ésta  deberá incluir dentro de sus procesos de auditoría, un programa específico para verificar el cumplimiento del SARLAFT de cada organización, basado en los procedimientos de auditoría generalmente aceptados.</w:t>
      </w:r>
    </w:p>
    <w:p w14:paraId="236AA0FB">
      <w:pPr>
        <w:autoSpaceDE w:val="0"/>
        <w:autoSpaceDN w:val="0"/>
        <w:adjustRightInd w:val="0"/>
        <w:rPr>
          <w:rFonts w:ascii="Century Gothic" w:hAnsi="Century Gothic" w:cs="Arial"/>
          <w:sz w:val="22"/>
          <w:szCs w:val="22"/>
          <w:lang w:eastAsia="es-CO"/>
        </w:rPr>
      </w:pPr>
    </w:p>
    <w:p w14:paraId="4CAE8D0F">
      <w:p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Los resultados de estas evaluaciones deberán ser informados a la mayor brevedad al órgano permanente de administración y al oficial de cumplimiento, para que se realicen los análisis correspondientes y se adopten los correctivos necesarios.</w:t>
      </w:r>
    </w:p>
    <w:p w14:paraId="50E3C116">
      <w:pPr>
        <w:autoSpaceDE w:val="0"/>
        <w:autoSpaceDN w:val="0"/>
        <w:adjustRightInd w:val="0"/>
        <w:rPr>
          <w:rFonts w:ascii="Century Gothic" w:hAnsi="Century Gothic" w:cs="Arial"/>
          <w:b/>
          <w:bCs/>
          <w:sz w:val="22"/>
          <w:szCs w:val="22"/>
          <w:lang w:eastAsia="es-CO"/>
        </w:rPr>
      </w:pPr>
    </w:p>
    <w:p w14:paraId="758444AA">
      <w:pPr>
        <w:autoSpaceDE w:val="0"/>
        <w:autoSpaceDN w:val="0"/>
        <w:adjustRightInd w:val="0"/>
        <w:rPr>
          <w:rFonts w:ascii="Century Gothic" w:hAnsi="Century Gothic" w:cs="Arial"/>
          <w:b/>
          <w:bCs/>
          <w:sz w:val="22"/>
          <w:szCs w:val="22"/>
          <w:lang w:eastAsia="es-CO"/>
        </w:rPr>
      </w:pPr>
    </w:p>
    <w:p w14:paraId="4C7343F4">
      <w:pPr>
        <w:pStyle w:val="65"/>
        <w:numPr>
          <w:ilvl w:val="2"/>
          <w:numId w:val="8"/>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 xml:space="preserve"> INFRAESTRUCTURA TECNOLÓGICA.</w:t>
      </w:r>
    </w:p>
    <w:p w14:paraId="7D02D51C">
      <w:pPr>
        <w:autoSpaceDE w:val="0"/>
        <w:autoSpaceDN w:val="0"/>
        <w:adjustRightInd w:val="0"/>
        <w:rPr>
          <w:rFonts w:ascii="Century Gothic" w:hAnsi="Century Gothic" w:cs="Arial"/>
          <w:b/>
          <w:bCs/>
          <w:sz w:val="22"/>
          <w:szCs w:val="22"/>
          <w:lang w:eastAsia="es-CO"/>
        </w:rPr>
      </w:pPr>
    </w:p>
    <w:p w14:paraId="25A681CD">
      <w:pPr>
        <w:autoSpaceDE w:val="0"/>
        <w:autoSpaceDN w:val="0"/>
        <w:adjustRightInd w:val="0"/>
        <w:rPr>
          <w:rFonts w:ascii="Century Gothic" w:hAnsi="Century Gothic" w:cs="ITC Franklin Gothic Std Book"/>
          <w:color w:val="000000"/>
          <w:sz w:val="22"/>
          <w:szCs w:val="22"/>
        </w:rPr>
      </w:pPr>
      <w:r>
        <w:rPr>
          <w:rFonts w:ascii="Century Gothic" w:hAnsi="Century Gothic" w:cs="Arial"/>
          <w:sz w:val="22"/>
          <w:szCs w:val="22"/>
          <w:lang w:eastAsia="es-CO"/>
        </w:rPr>
        <w:t>Hace referencia a las herramientas tecnológicas y a los sistemas con los cuales la Entidad contará para garantizar la adecuada administración del riesgo de LA/FT.</w:t>
      </w:r>
    </w:p>
    <w:p w14:paraId="7FCE5588">
      <w:pPr>
        <w:autoSpaceDE w:val="0"/>
        <w:autoSpaceDN w:val="0"/>
        <w:adjustRightInd w:val="0"/>
        <w:rPr>
          <w:rFonts w:ascii="Century Gothic" w:hAnsi="Century Gothic" w:cs="ITC Franklin Gothic Std Book"/>
          <w:color w:val="000000"/>
          <w:sz w:val="22"/>
          <w:szCs w:val="22"/>
        </w:rPr>
      </w:pPr>
    </w:p>
    <w:p w14:paraId="29B44E39">
      <w:pPr>
        <w:autoSpaceDE w:val="0"/>
        <w:autoSpaceDN w:val="0"/>
        <w:adjustRightInd w:val="0"/>
        <w:rPr>
          <w:rFonts w:ascii="Century Gothic" w:hAnsi="Century Gothic" w:cs="Arial" w:eastAsiaTheme="minorHAnsi"/>
          <w:bCs/>
          <w:sz w:val="22"/>
          <w:szCs w:val="22"/>
          <w:lang w:eastAsia="en-US"/>
        </w:rPr>
      </w:pPr>
      <w:r>
        <w:rPr>
          <w:rFonts w:ascii="Century Gothic" w:hAnsi="Century Gothic" w:cs="Arial"/>
          <w:sz w:val="22"/>
          <w:szCs w:val="22"/>
        </w:rPr>
        <w:t xml:space="preserve">La Entidad </w:t>
      </w:r>
      <w:r>
        <w:rPr>
          <w:rFonts w:ascii="Century Gothic" w:hAnsi="Century Gothic" w:cs="Arial" w:eastAsiaTheme="minorHAnsi"/>
          <w:bCs/>
          <w:sz w:val="22"/>
          <w:szCs w:val="22"/>
          <w:lang w:eastAsia="en-US"/>
        </w:rPr>
        <w:t>cuenta con un Software que integra dentro de su operación opciones de Lavado de Activos, que permiten dar cumplimiento a lo dispuesto en la normatividad en cuanto a reportes externos y obligatorios.</w:t>
      </w:r>
    </w:p>
    <w:p w14:paraId="0529B874">
      <w:pPr>
        <w:autoSpaceDE w:val="0"/>
        <w:autoSpaceDN w:val="0"/>
        <w:adjustRightInd w:val="0"/>
        <w:rPr>
          <w:rFonts w:ascii="Century Gothic" w:hAnsi="Century Gothic" w:cs="Arial" w:eastAsiaTheme="minorHAnsi"/>
          <w:bCs/>
          <w:sz w:val="22"/>
          <w:szCs w:val="22"/>
          <w:lang w:eastAsia="en-US"/>
        </w:rPr>
      </w:pPr>
    </w:p>
    <w:p w14:paraId="2C95E227">
      <w:pPr>
        <w:autoSpaceDE w:val="0"/>
        <w:autoSpaceDN w:val="0"/>
        <w:adjustRightInd w:val="0"/>
        <w:rPr>
          <w:rFonts w:ascii="Century Gothic" w:hAnsi="Century Gothic" w:cs="Arial" w:eastAsiaTheme="minorHAnsi"/>
          <w:bCs/>
          <w:sz w:val="22"/>
          <w:szCs w:val="22"/>
          <w:lang w:eastAsia="en-US"/>
        </w:rPr>
      </w:pPr>
      <w:r>
        <w:rPr>
          <w:rFonts w:ascii="Century Gothic" w:hAnsi="Century Gothic" w:cs="Arial" w:eastAsiaTheme="minorHAnsi"/>
          <w:bCs/>
          <w:sz w:val="22"/>
          <w:szCs w:val="22"/>
          <w:lang w:eastAsia="en-US"/>
        </w:rPr>
        <w:t>Este aplicativo genera señales de alerta para transacciones individuales en efectivo de acuerdo a los montos y las acumuladas por asociado y  por monto.</w:t>
      </w:r>
    </w:p>
    <w:p w14:paraId="0D11CBDC">
      <w:pPr>
        <w:rPr>
          <w:rFonts w:ascii="Century Gothic" w:hAnsi="Century Gothic" w:cs="Arial"/>
          <w:sz w:val="22"/>
          <w:szCs w:val="22"/>
        </w:rPr>
      </w:pPr>
    </w:p>
    <w:p w14:paraId="7EC67AA7">
      <w:pPr>
        <w:rPr>
          <w:rFonts w:ascii="Century Gothic" w:hAnsi="Century Gothic" w:cs="Arial"/>
          <w:sz w:val="22"/>
          <w:szCs w:val="22"/>
        </w:rPr>
      </w:pPr>
      <w:r>
        <w:rPr>
          <w:rFonts w:ascii="Century Gothic" w:hAnsi="Century Gothic" w:cs="Arial"/>
          <w:sz w:val="22"/>
          <w:szCs w:val="22"/>
        </w:rPr>
        <w:t xml:space="preserve">El aplicativo permite: </w:t>
      </w:r>
    </w:p>
    <w:p w14:paraId="1F5C60AA">
      <w:pPr>
        <w:rPr>
          <w:rFonts w:ascii="Century Gothic" w:hAnsi="Century Gothic" w:cs="Arial"/>
          <w:sz w:val="22"/>
          <w:szCs w:val="22"/>
        </w:rPr>
      </w:pPr>
    </w:p>
    <w:p w14:paraId="35F5274F">
      <w:pPr>
        <w:pStyle w:val="65"/>
        <w:numPr>
          <w:ilvl w:val="0"/>
          <w:numId w:val="75"/>
        </w:numPr>
        <w:autoSpaceDE w:val="0"/>
        <w:autoSpaceDN w:val="0"/>
        <w:adjustRightInd w:val="0"/>
        <w:rPr>
          <w:rFonts w:ascii="Century Gothic" w:hAnsi="Century Gothic" w:cs="Arial" w:eastAsiaTheme="minorHAnsi"/>
          <w:bCs/>
          <w:sz w:val="22"/>
          <w:szCs w:val="22"/>
          <w:lang w:val="es-CO" w:eastAsia="en-US"/>
        </w:rPr>
      </w:pPr>
      <w:r>
        <w:rPr>
          <w:rFonts w:ascii="Century Gothic" w:hAnsi="Century Gothic" w:cs="Arial" w:eastAsiaTheme="minorHAnsi"/>
          <w:bCs/>
          <w:sz w:val="22"/>
          <w:szCs w:val="22"/>
          <w:lang w:val="es-CO" w:eastAsia="en-US"/>
        </w:rPr>
        <w:t>Capturar, validar y actualizar periódicamente la información de los distintos factores de riesgo.</w:t>
      </w:r>
    </w:p>
    <w:p w14:paraId="18F1DB77">
      <w:pPr>
        <w:pStyle w:val="65"/>
        <w:numPr>
          <w:ilvl w:val="0"/>
          <w:numId w:val="75"/>
        </w:numPr>
        <w:autoSpaceDE w:val="0"/>
        <w:autoSpaceDN w:val="0"/>
        <w:adjustRightInd w:val="0"/>
        <w:rPr>
          <w:rFonts w:ascii="Century Gothic" w:hAnsi="Century Gothic" w:cs="Arial" w:eastAsiaTheme="minorHAnsi"/>
          <w:bCs/>
          <w:sz w:val="22"/>
          <w:szCs w:val="22"/>
          <w:lang w:val="es-CO" w:eastAsia="en-US"/>
        </w:rPr>
      </w:pPr>
      <w:r>
        <w:rPr>
          <w:rFonts w:ascii="Century Gothic" w:hAnsi="Century Gothic" w:cs="Arial" w:eastAsiaTheme="minorHAnsi"/>
          <w:bCs/>
          <w:sz w:val="22"/>
          <w:szCs w:val="22"/>
          <w:lang w:val="es-CO" w:eastAsia="en-US"/>
        </w:rPr>
        <w:t>Consolidar las operaciones de los distintos factores de riesgo de acuerdo con los criterios establecidos por la entidad.</w:t>
      </w:r>
    </w:p>
    <w:p w14:paraId="117D2EF0">
      <w:pPr>
        <w:pStyle w:val="65"/>
        <w:numPr>
          <w:ilvl w:val="0"/>
          <w:numId w:val="75"/>
        </w:numPr>
        <w:autoSpaceDE w:val="0"/>
        <w:autoSpaceDN w:val="0"/>
        <w:adjustRightInd w:val="0"/>
        <w:rPr>
          <w:rFonts w:ascii="Century Gothic" w:hAnsi="Century Gothic" w:cs="Arial" w:eastAsiaTheme="minorHAnsi"/>
          <w:bCs/>
          <w:sz w:val="22"/>
          <w:szCs w:val="22"/>
          <w:lang w:val="es-CO" w:eastAsia="en-US"/>
        </w:rPr>
      </w:pPr>
      <w:r>
        <w:rPr>
          <w:rFonts w:ascii="Century Gothic" w:hAnsi="Century Gothic" w:cs="Arial" w:eastAsiaTheme="minorHAnsi"/>
          <w:bCs/>
          <w:sz w:val="22"/>
          <w:szCs w:val="22"/>
          <w:lang w:val="es-CO" w:eastAsia="en-US"/>
        </w:rPr>
        <w:t>Centralizar los registros correspondientes a cada uno de los factores de riesgo y en forma particular a cada uno de los asociados.</w:t>
      </w:r>
    </w:p>
    <w:p w14:paraId="0A7E6457">
      <w:pPr>
        <w:pStyle w:val="65"/>
        <w:numPr>
          <w:ilvl w:val="0"/>
          <w:numId w:val="75"/>
        </w:numPr>
        <w:autoSpaceDE w:val="0"/>
        <w:autoSpaceDN w:val="0"/>
        <w:adjustRightInd w:val="0"/>
        <w:rPr>
          <w:rFonts w:ascii="Century Gothic" w:hAnsi="Century Gothic" w:cs="Arial" w:eastAsiaTheme="minorHAnsi"/>
          <w:bCs/>
          <w:sz w:val="22"/>
          <w:szCs w:val="22"/>
          <w:lang w:val="es-CO" w:eastAsia="en-US"/>
        </w:rPr>
      </w:pPr>
      <w:r>
        <w:rPr>
          <w:rFonts w:ascii="Century Gothic" w:hAnsi="Century Gothic" w:cs="Arial" w:eastAsiaTheme="minorHAnsi"/>
          <w:bCs/>
          <w:sz w:val="22"/>
          <w:szCs w:val="22"/>
          <w:lang w:val="es-CO" w:eastAsia="en-US"/>
        </w:rPr>
        <w:t>Generar los reportes internos y externos, distintos de los relativos a operaciones sospechosas.</w:t>
      </w:r>
    </w:p>
    <w:p w14:paraId="2DDC0518">
      <w:pPr>
        <w:rPr>
          <w:rFonts w:ascii="Century Gothic" w:hAnsi="Century Gothic" w:cs="Arial" w:eastAsiaTheme="minorHAnsi"/>
          <w:sz w:val="22"/>
          <w:szCs w:val="22"/>
        </w:rPr>
      </w:pPr>
    </w:p>
    <w:p w14:paraId="6CBC38FE">
      <w:pPr>
        <w:rPr>
          <w:rFonts w:ascii="Century Gothic" w:hAnsi="Century Gothic" w:cs="Arial" w:eastAsiaTheme="minorHAnsi"/>
          <w:sz w:val="22"/>
          <w:szCs w:val="22"/>
        </w:rPr>
      </w:pPr>
      <w:r>
        <w:rPr>
          <w:rFonts w:ascii="Century Gothic" w:hAnsi="Century Gothic" w:cs="Arial" w:eastAsiaTheme="minorHAnsi"/>
          <w:sz w:val="22"/>
          <w:szCs w:val="22"/>
        </w:rPr>
        <w:t>El aplicativo tiene entre otras las siguientes funcionalidades:</w:t>
      </w:r>
    </w:p>
    <w:p w14:paraId="0BE348DC">
      <w:pPr>
        <w:widowControl w:val="0"/>
        <w:tabs>
          <w:tab w:val="left" w:pos="2911"/>
        </w:tabs>
        <w:autoSpaceDE w:val="0"/>
        <w:autoSpaceDN w:val="0"/>
        <w:adjustRightInd w:val="0"/>
        <w:ind w:right="828"/>
        <w:rPr>
          <w:rFonts w:ascii="Century Gothic" w:hAnsi="Century Gothic" w:cs="Arial" w:eastAsiaTheme="minorHAnsi"/>
          <w:bCs/>
          <w:sz w:val="22"/>
          <w:szCs w:val="22"/>
          <w:highlight w:val="green"/>
          <w:lang w:eastAsia="en-US"/>
        </w:rPr>
      </w:pPr>
    </w:p>
    <w:p w14:paraId="296ED8A5">
      <w:pPr>
        <w:pStyle w:val="65"/>
        <w:widowControl w:val="0"/>
        <w:numPr>
          <w:ilvl w:val="0"/>
          <w:numId w:val="76"/>
        </w:numPr>
        <w:tabs>
          <w:tab w:val="left" w:pos="2911"/>
        </w:tabs>
        <w:autoSpaceDE w:val="0"/>
        <w:autoSpaceDN w:val="0"/>
        <w:adjustRightInd w:val="0"/>
        <w:ind w:right="49"/>
        <w:rPr>
          <w:rFonts w:ascii="Century Gothic" w:hAnsi="Century Gothic" w:cs="Arial" w:eastAsiaTheme="minorHAnsi"/>
          <w:bCs/>
          <w:sz w:val="22"/>
          <w:szCs w:val="22"/>
          <w:lang w:eastAsia="en-US"/>
        </w:rPr>
      </w:pPr>
      <w:r>
        <w:rPr>
          <w:rFonts w:ascii="Century Gothic" w:hAnsi="Century Gothic" w:cs="Arial" w:eastAsiaTheme="minorHAnsi"/>
          <w:bCs/>
          <w:sz w:val="22"/>
          <w:szCs w:val="22"/>
          <w:lang w:eastAsia="en-US"/>
        </w:rPr>
        <w:t>Creación de Clientes: Nos permite vincular al cliente a la base de datos (diligenciamiento del formato de Vinculación).</w:t>
      </w:r>
    </w:p>
    <w:p w14:paraId="1C79F8AD">
      <w:pPr>
        <w:widowControl w:val="0"/>
        <w:tabs>
          <w:tab w:val="left" w:pos="2911"/>
        </w:tabs>
        <w:autoSpaceDE w:val="0"/>
        <w:autoSpaceDN w:val="0"/>
        <w:adjustRightInd w:val="0"/>
        <w:ind w:right="49"/>
        <w:rPr>
          <w:rFonts w:ascii="Century Gothic" w:hAnsi="Century Gothic" w:cs="Arial" w:eastAsiaTheme="minorHAnsi"/>
          <w:bCs/>
          <w:sz w:val="22"/>
          <w:szCs w:val="22"/>
          <w:lang w:eastAsia="en-US"/>
        </w:rPr>
      </w:pPr>
    </w:p>
    <w:p w14:paraId="0E45CA4F">
      <w:pPr>
        <w:pStyle w:val="65"/>
        <w:widowControl w:val="0"/>
        <w:numPr>
          <w:ilvl w:val="0"/>
          <w:numId w:val="77"/>
        </w:numPr>
        <w:tabs>
          <w:tab w:val="left" w:pos="2911"/>
        </w:tabs>
        <w:autoSpaceDE w:val="0"/>
        <w:autoSpaceDN w:val="0"/>
        <w:adjustRightInd w:val="0"/>
        <w:ind w:right="49"/>
        <w:rPr>
          <w:rFonts w:ascii="Century Gothic" w:hAnsi="Century Gothic" w:cs="Arial" w:eastAsiaTheme="minorHAnsi"/>
          <w:bCs/>
          <w:sz w:val="22"/>
          <w:szCs w:val="22"/>
          <w:lang w:val="es-CO" w:eastAsia="en-US"/>
        </w:rPr>
      </w:pPr>
      <w:r>
        <w:rPr>
          <w:rFonts w:ascii="Century Gothic" w:hAnsi="Century Gothic" w:cs="Arial" w:eastAsiaTheme="minorHAnsi"/>
          <w:bCs/>
          <w:sz w:val="22"/>
          <w:szCs w:val="22"/>
          <w:lang w:val="es-CO" w:eastAsia="en-US"/>
        </w:rPr>
        <w:t>Modificación de Clientes: Esta opción nos permite actualizar y/o modificar información del cliente, o corregir algún ítem que se haya ingresado errado.</w:t>
      </w:r>
    </w:p>
    <w:p w14:paraId="266EFACA">
      <w:pPr>
        <w:pStyle w:val="65"/>
        <w:widowControl w:val="0"/>
        <w:numPr>
          <w:ilvl w:val="0"/>
          <w:numId w:val="77"/>
        </w:numPr>
        <w:tabs>
          <w:tab w:val="left" w:pos="2911"/>
        </w:tabs>
        <w:autoSpaceDE w:val="0"/>
        <w:autoSpaceDN w:val="0"/>
        <w:adjustRightInd w:val="0"/>
        <w:ind w:right="49"/>
        <w:rPr>
          <w:rFonts w:ascii="Century Gothic" w:hAnsi="Century Gothic" w:cs="Arial" w:eastAsiaTheme="minorHAnsi"/>
          <w:bCs/>
          <w:sz w:val="22"/>
          <w:szCs w:val="22"/>
          <w:lang w:val="es-CO" w:eastAsia="en-US"/>
        </w:rPr>
      </w:pPr>
      <w:r>
        <w:rPr>
          <w:rFonts w:ascii="Century Gothic" w:hAnsi="Century Gothic" w:cs="Arial" w:eastAsiaTheme="minorHAnsi"/>
          <w:bCs/>
          <w:sz w:val="22"/>
          <w:szCs w:val="22"/>
          <w:lang w:val="es-CO" w:eastAsia="en-US"/>
        </w:rPr>
        <w:t>Consulta de Clientes: Esta opción nos permite consultar por pantalla o impresora el formato de vinculación del cliente.</w:t>
      </w:r>
    </w:p>
    <w:p w14:paraId="0A97D2CE">
      <w:pPr>
        <w:pStyle w:val="65"/>
        <w:widowControl w:val="0"/>
        <w:numPr>
          <w:ilvl w:val="0"/>
          <w:numId w:val="77"/>
        </w:numPr>
        <w:tabs>
          <w:tab w:val="left" w:pos="2911"/>
        </w:tabs>
        <w:autoSpaceDE w:val="0"/>
        <w:autoSpaceDN w:val="0"/>
        <w:adjustRightInd w:val="0"/>
        <w:ind w:right="49"/>
        <w:rPr>
          <w:rFonts w:ascii="Century Gothic" w:hAnsi="Century Gothic" w:cs="Arial" w:eastAsiaTheme="minorHAnsi"/>
          <w:bCs/>
          <w:sz w:val="22"/>
          <w:szCs w:val="22"/>
          <w:lang w:val="es-CO" w:eastAsia="en-US"/>
        </w:rPr>
      </w:pPr>
      <w:r>
        <w:rPr>
          <w:rFonts w:ascii="Century Gothic" w:hAnsi="Century Gothic" w:cs="Arial" w:eastAsiaTheme="minorHAnsi"/>
          <w:bCs/>
          <w:sz w:val="22"/>
          <w:szCs w:val="22"/>
          <w:lang w:val="es-CO" w:eastAsia="en-US"/>
        </w:rPr>
        <w:t>Informe General de Clientes</w:t>
      </w:r>
    </w:p>
    <w:p w14:paraId="7D7EDDE2">
      <w:pPr>
        <w:widowControl w:val="0"/>
        <w:tabs>
          <w:tab w:val="left" w:pos="2911"/>
        </w:tabs>
        <w:autoSpaceDE w:val="0"/>
        <w:autoSpaceDN w:val="0"/>
        <w:adjustRightInd w:val="0"/>
        <w:ind w:right="49"/>
        <w:rPr>
          <w:rFonts w:ascii="Century Gothic" w:hAnsi="Century Gothic" w:cs="Arial" w:eastAsiaTheme="minorHAnsi"/>
          <w:bCs/>
          <w:sz w:val="22"/>
          <w:szCs w:val="22"/>
          <w:lang w:eastAsia="en-US"/>
        </w:rPr>
      </w:pPr>
    </w:p>
    <w:p w14:paraId="07131806">
      <w:pPr>
        <w:pStyle w:val="65"/>
        <w:widowControl w:val="0"/>
        <w:numPr>
          <w:ilvl w:val="0"/>
          <w:numId w:val="76"/>
        </w:numPr>
        <w:tabs>
          <w:tab w:val="left" w:pos="2911"/>
        </w:tabs>
        <w:autoSpaceDE w:val="0"/>
        <w:autoSpaceDN w:val="0"/>
        <w:adjustRightInd w:val="0"/>
        <w:ind w:right="49"/>
        <w:rPr>
          <w:rFonts w:ascii="Century Gothic" w:hAnsi="Century Gothic" w:cs="Arial" w:eastAsiaTheme="minorHAnsi"/>
          <w:bCs/>
          <w:sz w:val="22"/>
          <w:szCs w:val="22"/>
          <w:lang w:eastAsia="en-US"/>
        </w:rPr>
      </w:pPr>
      <w:r>
        <w:rPr>
          <w:rFonts w:ascii="Century Gothic" w:hAnsi="Century Gothic" w:cs="Arial" w:eastAsiaTheme="minorHAnsi"/>
          <w:bCs/>
          <w:sz w:val="22"/>
          <w:szCs w:val="22"/>
          <w:lang w:eastAsia="en-US"/>
        </w:rPr>
        <w:t>Archivo de Transacciones Mayores a 10.000.000 Para UIAF: Realiza la selección de las operaciones individuales igual o superiores a $10 millones, realizadas por los clientes durante el mes.</w:t>
      </w:r>
    </w:p>
    <w:p w14:paraId="028D4778">
      <w:pPr>
        <w:pStyle w:val="65"/>
        <w:widowControl w:val="0"/>
        <w:tabs>
          <w:tab w:val="left" w:pos="2911"/>
        </w:tabs>
        <w:autoSpaceDE w:val="0"/>
        <w:autoSpaceDN w:val="0"/>
        <w:adjustRightInd w:val="0"/>
        <w:ind w:left="720" w:right="49"/>
        <w:rPr>
          <w:rFonts w:ascii="Century Gothic" w:hAnsi="Century Gothic" w:cs="Arial" w:eastAsiaTheme="minorHAnsi"/>
          <w:bCs/>
          <w:sz w:val="22"/>
          <w:szCs w:val="22"/>
          <w:lang w:eastAsia="en-US"/>
        </w:rPr>
      </w:pPr>
    </w:p>
    <w:p w14:paraId="00FB7D4C">
      <w:pPr>
        <w:pStyle w:val="65"/>
        <w:widowControl w:val="0"/>
        <w:tabs>
          <w:tab w:val="left" w:pos="2911"/>
        </w:tabs>
        <w:autoSpaceDE w:val="0"/>
        <w:autoSpaceDN w:val="0"/>
        <w:adjustRightInd w:val="0"/>
        <w:ind w:left="720" w:right="49"/>
        <w:rPr>
          <w:rFonts w:ascii="Century Gothic" w:hAnsi="Century Gothic" w:cs="Arial" w:eastAsiaTheme="minorHAnsi"/>
          <w:bCs/>
          <w:sz w:val="22"/>
          <w:szCs w:val="22"/>
          <w:lang w:val="es-CO" w:eastAsia="en-US"/>
        </w:rPr>
      </w:pPr>
      <w:r>
        <w:rPr>
          <w:rFonts w:ascii="Century Gothic" w:hAnsi="Century Gothic" w:cs="Arial" w:eastAsiaTheme="minorHAnsi"/>
          <w:bCs/>
          <w:sz w:val="22"/>
          <w:szCs w:val="22"/>
          <w:lang w:val="es-CO" w:eastAsia="en-US"/>
        </w:rPr>
        <w:t>Igualmente consolida las operaciones múltiples constituidas por aquellas transacciones individuales en efectivo por cuantías inferiores a $10 millones, que se realicen en una o varias oficinas en beneficio de una misma persona, que en su conjunto igualen o superen el valor de $50 millones, son reflejadas individuales en el archivo plano.</w:t>
      </w:r>
    </w:p>
    <w:p w14:paraId="4B0270A7">
      <w:pPr>
        <w:pStyle w:val="65"/>
        <w:widowControl w:val="0"/>
        <w:tabs>
          <w:tab w:val="left" w:pos="2911"/>
        </w:tabs>
        <w:autoSpaceDE w:val="0"/>
        <w:autoSpaceDN w:val="0"/>
        <w:adjustRightInd w:val="0"/>
        <w:ind w:left="720" w:right="49"/>
        <w:rPr>
          <w:rFonts w:ascii="Century Gothic" w:hAnsi="Century Gothic" w:cs="Arial" w:eastAsiaTheme="minorHAnsi"/>
          <w:bCs/>
          <w:sz w:val="22"/>
          <w:szCs w:val="22"/>
          <w:lang w:val="es-CO" w:eastAsia="en-US"/>
        </w:rPr>
      </w:pPr>
    </w:p>
    <w:p w14:paraId="0C0677CF">
      <w:pPr>
        <w:pStyle w:val="65"/>
        <w:widowControl w:val="0"/>
        <w:numPr>
          <w:ilvl w:val="0"/>
          <w:numId w:val="76"/>
        </w:numPr>
        <w:tabs>
          <w:tab w:val="left" w:pos="2911"/>
        </w:tabs>
        <w:autoSpaceDE w:val="0"/>
        <w:autoSpaceDN w:val="0"/>
        <w:adjustRightInd w:val="0"/>
        <w:ind w:right="49"/>
        <w:rPr>
          <w:rFonts w:ascii="Century Gothic" w:hAnsi="Century Gothic" w:cs="Arial" w:eastAsiaTheme="minorHAnsi"/>
          <w:bCs/>
          <w:sz w:val="22"/>
          <w:szCs w:val="22"/>
          <w:lang w:eastAsia="en-US"/>
        </w:rPr>
      </w:pPr>
      <w:r>
        <w:rPr>
          <w:rFonts w:ascii="Century Gothic" w:hAnsi="Century Gothic" w:cs="Arial" w:eastAsiaTheme="minorHAnsi"/>
          <w:bCs/>
          <w:sz w:val="22"/>
          <w:szCs w:val="22"/>
          <w:lang w:eastAsia="en-US"/>
        </w:rPr>
        <w:t xml:space="preserve">Reporte Clientes Desactualizados: Permite conocer los clientes que presentan la información desactualizada. </w:t>
      </w:r>
    </w:p>
    <w:p w14:paraId="26C7A560">
      <w:pPr>
        <w:pStyle w:val="65"/>
        <w:widowControl w:val="0"/>
        <w:tabs>
          <w:tab w:val="left" w:pos="2911"/>
        </w:tabs>
        <w:autoSpaceDE w:val="0"/>
        <w:autoSpaceDN w:val="0"/>
        <w:adjustRightInd w:val="0"/>
        <w:ind w:left="720" w:right="49"/>
        <w:rPr>
          <w:rFonts w:ascii="Century Gothic" w:hAnsi="Century Gothic" w:cs="Arial" w:eastAsiaTheme="minorHAnsi"/>
          <w:bCs/>
          <w:sz w:val="22"/>
          <w:szCs w:val="22"/>
          <w:lang w:eastAsia="en-US"/>
        </w:rPr>
      </w:pPr>
    </w:p>
    <w:p w14:paraId="6E4B2C4F">
      <w:pPr>
        <w:pStyle w:val="65"/>
        <w:widowControl w:val="0"/>
        <w:tabs>
          <w:tab w:val="left" w:pos="2911"/>
        </w:tabs>
        <w:autoSpaceDE w:val="0"/>
        <w:autoSpaceDN w:val="0"/>
        <w:adjustRightInd w:val="0"/>
        <w:ind w:left="720" w:right="49"/>
        <w:rPr>
          <w:rFonts w:ascii="Century Gothic" w:hAnsi="Century Gothic" w:cs="Arial" w:eastAsiaTheme="minorHAnsi"/>
          <w:bCs/>
          <w:sz w:val="22"/>
          <w:szCs w:val="22"/>
          <w:lang w:eastAsia="en-US"/>
        </w:rPr>
      </w:pPr>
    </w:p>
    <w:p w14:paraId="0ADE3035">
      <w:pPr>
        <w:pStyle w:val="65"/>
        <w:numPr>
          <w:ilvl w:val="2"/>
          <w:numId w:val="8"/>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 xml:space="preserve"> DIVULGACIÓN DE INFORMACIÓN.</w:t>
      </w:r>
    </w:p>
    <w:p w14:paraId="08EC0BAB">
      <w:pPr>
        <w:autoSpaceDE w:val="0"/>
        <w:autoSpaceDN w:val="0"/>
        <w:adjustRightInd w:val="0"/>
        <w:rPr>
          <w:rFonts w:ascii="Century Gothic" w:hAnsi="Century Gothic" w:cs="Arial"/>
          <w:b/>
          <w:bCs/>
          <w:sz w:val="22"/>
          <w:szCs w:val="22"/>
          <w:lang w:eastAsia="es-CO"/>
        </w:rPr>
      </w:pPr>
    </w:p>
    <w:p w14:paraId="4DCC3311">
      <w:pPr>
        <w:autoSpaceDE w:val="0"/>
        <w:autoSpaceDN w:val="0"/>
        <w:adjustRightInd w:val="0"/>
        <w:spacing w:after="14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La Entidad diseñará un sistema de reportes internos y externos que ga</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 xml:space="preserve">rantice el acatamiento de los requerimientos normativos, en </w:t>
      </w:r>
      <w:r>
        <w:rPr>
          <w:rFonts w:ascii="Century Gothic" w:hAnsi="Century Gothic" w:cs="ITC Franklin Gothic Std Book" w:eastAsiaTheme="minorHAnsi"/>
          <w:bCs/>
          <w:color w:val="000000"/>
          <w:sz w:val="22"/>
          <w:szCs w:val="22"/>
          <w:lang w:eastAsia="en-US"/>
        </w:rPr>
        <w:t>aras</w:t>
      </w:r>
      <w:r>
        <w:rPr>
          <w:rFonts w:ascii="Century Gothic" w:hAnsi="Century Gothic" w:cs="ITC Franklin Gothic Std Book" w:eastAsiaTheme="minorHAnsi"/>
          <w:color w:val="000000"/>
          <w:sz w:val="22"/>
          <w:szCs w:val="22"/>
          <w:lang w:eastAsia="en-US"/>
        </w:rPr>
        <w:t xml:space="preserve"> de preservar la transparencia en todas sus ac</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tuaciones y operaciones, y con el fin de dar cumplimiento a las normas legales e internas relacionadas con la conservación, elaboración y divulgación de la informa</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 xml:space="preserve">ción del SARLAFT. </w:t>
      </w:r>
    </w:p>
    <w:p w14:paraId="2DCFE66C">
      <w:pPr>
        <w:autoSpaceDE w:val="0"/>
        <w:autoSpaceDN w:val="0"/>
        <w:adjustRightInd w:val="0"/>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La manera adoptada por </w:t>
      </w:r>
      <w:r>
        <w:rPr>
          <w:rFonts w:ascii="Century Gothic" w:hAnsi="Century Gothic" w:cs="ITC Franklin Gothic Std Book" w:eastAsiaTheme="minorHAnsi"/>
          <w:bCs/>
          <w:color w:val="000000"/>
          <w:sz w:val="22"/>
          <w:szCs w:val="22"/>
          <w:lang w:eastAsia="en-US"/>
        </w:rPr>
        <w:t xml:space="preserve">la Entidad </w:t>
      </w:r>
      <w:r>
        <w:rPr>
          <w:rFonts w:ascii="Century Gothic" w:hAnsi="Century Gothic" w:cs="ITC Franklin Gothic Std Book" w:eastAsiaTheme="minorHAnsi"/>
          <w:color w:val="000000"/>
          <w:sz w:val="22"/>
          <w:szCs w:val="22"/>
          <w:lang w:eastAsia="en-US"/>
        </w:rPr>
        <w:t>para la divulgación al público de la información sobre la administración del riesgo de lavado de activos y finan</w:t>
      </w:r>
      <w:r>
        <w:rPr>
          <w:rFonts w:ascii="Century Gothic" w:hAnsi="Century Gothic" w:cs="ITC Franklin Gothic Std Book" w:eastAsiaTheme="minorHAnsi"/>
          <w:color w:val="000000"/>
          <w:sz w:val="22"/>
          <w:szCs w:val="22"/>
          <w:lang w:eastAsia="en-US"/>
        </w:rPr>
        <w:softHyphen/>
      </w:r>
      <w:r>
        <w:rPr>
          <w:rFonts w:ascii="Century Gothic" w:hAnsi="Century Gothic" w:cs="ITC Franklin Gothic Std Book" w:eastAsiaTheme="minorHAnsi"/>
          <w:color w:val="000000"/>
          <w:sz w:val="22"/>
          <w:szCs w:val="22"/>
          <w:lang w:eastAsia="en-US"/>
        </w:rPr>
        <w:t>ciación del terrorismo será a través de su página web u otros mecanismos de difusión.</w:t>
      </w:r>
    </w:p>
    <w:p w14:paraId="1BC78F82">
      <w:pPr>
        <w:autoSpaceDE w:val="0"/>
        <w:autoSpaceDN w:val="0"/>
        <w:adjustRightInd w:val="0"/>
        <w:rPr>
          <w:rFonts w:ascii="Century Gothic" w:hAnsi="Century Gothic" w:cs="ITC Franklin Gothic Std Book" w:eastAsiaTheme="minorHAnsi"/>
          <w:color w:val="000000"/>
          <w:sz w:val="22"/>
          <w:szCs w:val="22"/>
          <w:lang w:eastAsia="en-US"/>
        </w:rPr>
      </w:pPr>
    </w:p>
    <w:p w14:paraId="51D932A3">
      <w:pPr>
        <w:autoSpaceDE w:val="0"/>
        <w:autoSpaceDN w:val="0"/>
        <w:adjustRightInd w:val="0"/>
        <w:rPr>
          <w:rFonts w:ascii="Century Gothic" w:hAnsi="Century Gothic" w:cs="Arial"/>
          <w:bCs/>
          <w:sz w:val="22"/>
          <w:szCs w:val="22"/>
          <w:lang w:eastAsia="es-CO"/>
        </w:rPr>
      </w:pPr>
      <w:r>
        <w:rPr>
          <w:rFonts w:ascii="Century Gothic" w:hAnsi="Century Gothic" w:cs="ITC Franklin Gothic Std Book" w:eastAsiaTheme="minorHAnsi"/>
          <w:color w:val="000000"/>
          <w:sz w:val="22"/>
          <w:szCs w:val="22"/>
          <w:lang w:eastAsia="en-US"/>
        </w:rPr>
        <w:t xml:space="preserve">La Entidad </w:t>
      </w:r>
      <w:r>
        <w:rPr>
          <w:rFonts w:ascii="Century Gothic" w:hAnsi="Century Gothic" w:cs="Arial"/>
          <w:bCs/>
          <w:sz w:val="22"/>
          <w:szCs w:val="22"/>
          <w:lang w:eastAsia="es-CO"/>
        </w:rPr>
        <w:t>realizará los reportes que le conciernen en atención a su  tipología de negocio, sin embargo se hace mención de los siguientes reportes de acuerdo a la normatividad vigente:</w:t>
      </w:r>
    </w:p>
    <w:p w14:paraId="14786AD6">
      <w:pPr>
        <w:autoSpaceDE w:val="0"/>
        <w:autoSpaceDN w:val="0"/>
        <w:adjustRightInd w:val="0"/>
        <w:rPr>
          <w:rFonts w:ascii="Century Gothic" w:hAnsi="Century Gothic" w:cs="Arial"/>
          <w:b/>
          <w:bCs/>
          <w:sz w:val="22"/>
          <w:szCs w:val="22"/>
          <w:lang w:eastAsia="es-CO"/>
        </w:rPr>
      </w:pPr>
    </w:p>
    <w:p w14:paraId="6F5EBA5A">
      <w:pPr>
        <w:pStyle w:val="4"/>
        <w:numPr>
          <w:ilvl w:val="3"/>
          <w:numId w:val="8"/>
        </w:numPr>
        <w:rPr>
          <w:rFonts w:ascii="Century Gothic" w:hAnsi="Century Gothic"/>
          <w:sz w:val="22"/>
          <w:szCs w:val="22"/>
        </w:rPr>
      </w:pPr>
      <w:r>
        <w:rPr>
          <w:rFonts w:ascii="Century Gothic" w:hAnsi="Century Gothic"/>
          <w:sz w:val="22"/>
          <w:szCs w:val="22"/>
        </w:rPr>
        <w:t>REPORTES INTERNOS</w:t>
      </w:r>
    </w:p>
    <w:p w14:paraId="201FF7E6">
      <w:pPr>
        <w:pStyle w:val="4"/>
        <w:rPr>
          <w:rFonts w:ascii="Century Gothic" w:hAnsi="Century Gothic"/>
        </w:rPr>
      </w:pPr>
      <w:r>
        <w:rPr>
          <w:rFonts w:ascii="Century Gothic" w:hAnsi="Century Gothic"/>
        </w:rPr>
        <w:t>Reporte Interno sobre operaciones inusuales</w:t>
      </w:r>
    </w:p>
    <w:p w14:paraId="0575E6EF">
      <w:pPr>
        <w:rPr>
          <w:rFonts w:ascii="Century Gothic" w:hAnsi="Century Gothic"/>
          <w:sz w:val="22"/>
          <w:szCs w:val="22"/>
        </w:rPr>
      </w:pPr>
    </w:p>
    <w:p w14:paraId="17291107">
      <w:pPr>
        <w:autoSpaceDE w:val="0"/>
        <w:autoSpaceDN w:val="0"/>
        <w:adjustRightInd w:val="0"/>
        <w:rPr>
          <w:rFonts w:ascii="Century Gothic" w:hAnsi="Century Gothic" w:cs="Arial"/>
          <w:sz w:val="22"/>
          <w:szCs w:val="22"/>
        </w:rPr>
      </w:pPr>
      <w:r>
        <w:rPr>
          <w:rFonts w:ascii="Century Gothic" w:hAnsi="Century Gothic" w:cs="Arial"/>
          <w:sz w:val="22"/>
          <w:szCs w:val="22"/>
        </w:rPr>
        <w:t>La operación inusual hace referencia a aquella cuya cuantía o características no guardan relación con la actividad económica de los clientes, o que por su número, por las cantidades transadas o por sus características particulares, se salen de los parámetros de normalidad establecidos.</w:t>
      </w:r>
    </w:p>
    <w:p w14:paraId="1D7F07D8">
      <w:pPr>
        <w:rPr>
          <w:rFonts w:ascii="Century Gothic" w:hAnsi="Century Gothic"/>
          <w:sz w:val="22"/>
          <w:szCs w:val="22"/>
          <w:lang w:val="es-ES"/>
        </w:rPr>
      </w:pPr>
    </w:p>
    <w:p w14:paraId="2D5CBC31">
      <w:pPr>
        <w:rPr>
          <w:rFonts w:ascii="Century Gothic" w:hAnsi="Century Gothic"/>
          <w:sz w:val="22"/>
          <w:szCs w:val="22"/>
        </w:rPr>
      </w:pPr>
      <w:r>
        <w:rPr>
          <w:rFonts w:ascii="Century Gothic" w:hAnsi="Century Gothic"/>
          <w:sz w:val="22"/>
          <w:szCs w:val="22"/>
        </w:rPr>
        <w:t xml:space="preserve">Por lo anterior se tendrán en cuenta los siguientes reportes: </w:t>
      </w:r>
    </w:p>
    <w:p w14:paraId="59AC6BA8">
      <w:pPr>
        <w:rPr>
          <w:rFonts w:ascii="Century Gothic" w:hAnsi="Century Gothic"/>
          <w:sz w:val="22"/>
          <w:szCs w:val="22"/>
        </w:rPr>
      </w:pPr>
    </w:p>
    <w:p w14:paraId="46AAED4A">
      <w:pPr>
        <w:pStyle w:val="65"/>
        <w:numPr>
          <w:ilvl w:val="0"/>
          <w:numId w:val="78"/>
        </w:numPr>
        <w:rPr>
          <w:rFonts w:ascii="Century Gothic" w:hAnsi="Century Gothic" w:cs="Arial"/>
          <w:sz w:val="22"/>
          <w:szCs w:val="22"/>
        </w:rPr>
      </w:pPr>
      <w:r>
        <w:rPr>
          <w:rFonts w:ascii="Century Gothic" w:hAnsi="Century Gothic" w:cs="Arial"/>
          <w:sz w:val="22"/>
          <w:szCs w:val="22"/>
        </w:rPr>
        <w:t>Todos los empleados y/o colaboradores de la Entidad tienen la obligación de reportar las operaciones inusuales que detecten en el desempeño de sus funciones o en la aplicación de los procedimientos de prevención y control en las operaciones realizadas por clientes/asociados.</w:t>
      </w:r>
    </w:p>
    <w:p w14:paraId="265E00E2">
      <w:pPr>
        <w:rPr>
          <w:rFonts w:ascii="Century Gothic" w:hAnsi="Century Gothic" w:cs="Arial"/>
          <w:sz w:val="22"/>
          <w:szCs w:val="22"/>
        </w:rPr>
      </w:pPr>
    </w:p>
    <w:p w14:paraId="7F549F23">
      <w:pPr>
        <w:pStyle w:val="65"/>
        <w:numPr>
          <w:ilvl w:val="0"/>
          <w:numId w:val="79"/>
        </w:numPr>
        <w:rPr>
          <w:rFonts w:ascii="Century Gothic" w:hAnsi="Century Gothic" w:cs="Arial"/>
          <w:sz w:val="22"/>
          <w:szCs w:val="22"/>
        </w:rPr>
      </w:pPr>
      <w:r>
        <w:rPr>
          <w:rFonts w:ascii="Century Gothic" w:hAnsi="Century Gothic" w:cs="Arial"/>
          <w:sz w:val="22"/>
          <w:szCs w:val="22"/>
        </w:rPr>
        <w:t>Luego de haber investigado y analizado las características que tipifican la inusualidad y documentar las evidencias que sirvieron de base para determinar la operación como inusual, se debe enviar el reporte interno de operación inusual al Oficial de Cumplimiento, quien evaluará y analizará dicha operación.</w:t>
      </w:r>
    </w:p>
    <w:p w14:paraId="6C69F507">
      <w:pPr>
        <w:pStyle w:val="65"/>
        <w:ind w:left="720"/>
        <w:rPr>
          <w:rFonts w:ascii="Century Gothic" w:hAnsi="Century Gothic" w:cs="Arial"/>
          <w:sz w:val="22"/>
          <w:szCs w:val="22"/>
        </w:rPr>
      </w:pPr>
    </w:p>
    <w:p w14:paraId="37E9FC5D">
      <w:pPr>
        <w:pStyle w:val="65"/>
        <w:numPr>
          <w:ilvl w:val="0"/>
          <w:numId w:val="79"/>
        </w:numPr>
        <w:rPr>
          <w:rFonts w:ascii="Century Gothic" w:hAnsi="Century Gothic" w:cs="Arial"/>
          <w:sz w:val="22"/>
          <w:szCs w:val="22"/>
        </w:rPr>
      </w:pPr>
      <w:r>
        <w:rPr>
          <w:rFonts w:ascii="Century Gothic" w:hAnsi="Century Gothic" w:cs="ITC Franklin Gothic Std Book"/>
          <w:color w:val="000000"/>
          <w:sz w:val="22"/>
          <w:szCs w:val="22"/>
        </w:rPr>
        <w:t>Se debe llevar una la relación de los ROI que se detecten, para que el Oficial de Cumplimiento pueda evaluar el adecuado funcionamiento del SARLAFT.</w:t>
      </w:r>
    </w:p>
    <w:p w14:paraId="26834824">
      <w:pPr>
        <w:pStyle w:val="65"/>
        <w:rPr>
          <w:rFonts w:ascii="Century Gothic" w:hAnsi="Century Gothic" w:cs="Arial"/>
          <w:sz w:val="22"/>
          <w:szCs w:val="22"/>
        </w:rPr>
      </w:pPr>
    </w:p>
    <w:p w14:paraId="15734414">
      <w:pPr>
        <w:pStyle w:val="65"/>
        <w:numPr>
          <w:ilvl w:val="0"/>
          <w:numId w:val="79"/>
        </w:numPr>
        <w:rPr>
          <w:rFonts w:ascii="Century Gothic" w:hAnsi="Century Gothic" w:cs="Arial"/>
          <w:sz w:val="22"/>
          <w:szCs w:val="22"/>
        </w:rPr>
      </w:pPr>
      <w:r>
        <w:rPr>
          <w:rFonts w:ascii="Century Gothic" w:hAnsi="Century Gothic" w:cs="Arial"/>
          <w:sz w:val="22"/>
          <w:szCs w:val="22"/>
        </w:rPr>
        <w:t>Durante los primeros cinco (5) días hábiles de cada trimestre, los empleados  y/o colaboradores que tienen contacto con los clientes/asociados/proveedores y demás, y NO identifiquen situaciones irregulares, deben enviar Certificación o comunicado interno (e-mail) donde detallen que no hubo operaciones inusuales en dicho período.</w:t>
      </w:r>
    </w:p>
    <w:p w14:paraId="72DA8339">
      <w:pPr>
        <w:rPr>
          <w:rFonts w:ascii="Century Gothic" w:hAnsi="Century Gothic" w:cs="Arial"/>
          <w:sz w:val="22"/>
          <w:szCs w:val="22"/>
        </w:rPr>
      </w:pPr>
    </w:p>
    <w:p w14:paraId="43E927E8">
      <w:pPr>
        <w:rPr>
          <w:rFonts w:ascii="Century Gothic" w:hAnsi="Century Gothic" w:cs="Arial"/>
          <w:b/>
          <w:sz w:val="22"/>
          <w:szCs w:val="22"/>
        </w:rPr>
      </w:pPr>
      <w:r>
        <w:rPr>
          <w:rFonts w:ascii="Century Gothic" w:hAnsi="Century Gothic" w:cs="Arial"/>
          <w:b/>
          <w:sz w:val="22"/>
          <w:szCs w:val="22"/>
        </w:rPr>
        <w:t>Reporte Interno sobre operaciones sospechosas:</w:t>
      </w:r>
    </w:p>
    <w:p w14:paraId="62ACC5F9">
      <w:pPr>
        <w:rPr>
          <w:rFonts w:ascii="Century Gothic" w:hAnsi="Century Gothic" w:cs="Arial"/>
          <w:sz w:val="22"/>
          <w:szCs w:val="22"/>
        </w:rPr>
      </w:pPr>
    </w:p>
    <w:p w14:paraId="1933C15E">
      <w:pPr>
        <w:autoSpaceDE w:val="0"/>
        <w:autoSpaceDN w:val="0"/>
        <w:adjustRightInd w:val="0"/>
        <w:rPr>
          <w:rFonts w:ascii="Century Gothic" w:hAnsi="Century Gothic" w:cs="Arial"/>
          <w:sz w:val="22"/>
          <w:szCs w:val="22"/>
        </w:rPr>
      </w:pPr>
      <w:r>
        <w:rPr>
          <w:rFonts w:ascii="Century Gothic" w:hAnsi="Century Gothic" w:cs="Arial"/>
          <w:sz w:val="22"/>
          <w:szCs w:val="22"/>
        </w:rPr>
        <w:t>La operación sospechosa hace referencia a aquella que por su número, cantidad o características no se enmarca dentro de los sistemas y prácticas normales de los negocios, de una industria o de un sector determinado y, además, que de acuerdo con los usos y costumbres de la actividad que se trate no ha podido ser razonablemente justificada. Cuando se detecten esta clase de operaciones deben ser reportadas a la UIAF.</w:t>
      </w:r>
    </w:p>
    <w:p w14:paraId="718DF9CE">
      <w:pPr>
        <w:autoSpaceDE w:val="0"/>
        <w:autoSpaceDN w:val="0"/>
        <w:adjustRightInd w:val="0"/>
        <w:rPr>
          <w:rFonts w:ascii="Century Gothic" w:hAnsi="Century Gothic" w:cs="Arial"/>
          <w:sz w:val="22"/>
          <w:szCs w:val="22"/>
        </w:rPr>
      </w:pPr>
    </w:p>
    <w:p w14:paraId="6EB538B0">
      <w:pPr>
        <w:rPr>
          <w:rFonts w:ascii="Century Gothic" w:hAnsi="Century Gothic"/>
          <w:sz w:val="22"/>
          <w:szCs w:val="22"/>
        </w:rPr>
      </w:pPr>
      <w:r>
        <w:rPr>
          <w:rFonts w:ascii="Century Gothic" w:hAnsi="Century Gothic"/>
          <w:sz w:val="22"/>
          <w:szCs w:val="22"/>
        </w:rPr>
        <w:t xml:space="preserve">Por lo anterior se tendrán en cuenta los siguientes reportes: </w:t>
      </w:r>
    </w:p>
    <w:p w14:paraId="394CA4A9">
      <w:pPr>
        <w:rPr>
          <w:rFonts w:ascii="Century Gothic" w:hAnsi="Century Gothic"/>
          <w:sz w:val="22"/>
          <w:szCs w:val="22"/>
        </w:rPr>
      </w:pPr>
    </w:p>
    <w:p w14:paraId="4C55B073">
      <w:pPr>
        <w:pStyle w:val="92"/>
        <w:numPr>
          <w:ilvl w:val="0"/>
          <w:numId w:val="80"/>
        </w:numPr>
        <w:spacing w:after="160"/>
        <w:jc w:val="both"/>
        <w:rPr>
          <w:rFonts w:ascii="Century Gothic" w:hAnsi="Century Gothic" w:cs="ITC Franklin Gothic Std Book"/>
          <w:color w:val="000000"/>
          <w:sz w:val="22"/>
          <w:szCs w:val="22"/>
        </w:rPr>
      </w:pPr>
      <w:r>
        <w:rPr>
          <w:rFonts w:ascii="Century Gothic" w:hAnsi="Century Gothic" w:cs="ITC Franklin Gothic Std Book"/>
          <w:color w:val="000000"/>
          <w:sz w:val="22"/>
          <w:szCs w:val="22"/>
        </w:rPr>
        <w:t xml:space="preserve">Los empleados de </w:t>
      </w:r>
      <w:r>
        <w:rPr>
          <w:rFonts w:ascii="Century Gothic" w:hAnsi="Century Gothic" w:cs="ITC Franklin Gothic Std Book"/>
          <w:bCs/>
          <w:color w:val="000000"/>
          <w:sz w:val="22"/>
          <w:szCs w:val="22"/>
        </w:rPr>
        <w:t xml:space="preserve">la Entidad </w:t>
      </w:r>
      <w:r>
        <w:rPr>
          <w:rFonts w:ascii="Century Gothic" w:hAnsi="Century Gothic" w:cs="ITC Franklin Gothic Std Book"/>
          <w:color w:val="000000"/>
          <w:sz w:val="22"/>
          <w:szCs w:val="22"/>
        </w:rPr>
        <w:t>que detecten una operación sospe</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chosa, deberán informar al Oficial de Cumplimiento de forma inmediata, indicando las razones objetivas por las cuales califican la operación como sospechosa, por medio co</w:t>
      </w:r>
      <w:r>
        <w:rPr>
          <w:rFonts w:ascii="Century Gothic" w:hAnsi="Century Gothic" w:cs="ITC Franklin Gothic Std Book"/>
          <w:color w:val="000000"/>
          <w:sz w:val="22"/>
          <w:szCs w:val="22"/>
        </w:rPr>
        <w:softHyphen/>
      </w:r>
      <w:r>
        <w:rPr>
          <w:rFonts w:ascii="Century Gothic" w:hAnsi="Century Gothic" w:cs="ITC Franklin Gothic Std Book"/>
          <w:color w:val="000000"/>
          <w:sz w:val="22"/>
          <w:szCs w:val="22"/>
        </w:rPr>
        <w:t>rreo electrónico o comunicación escrita.</w:t>
      </w:r>
    </w:p>
    <w:p w14:paraId="0E5F0971">
      <w:pPr>
        <w:pStyle w:val="92"/>
        <w:numPr>
          <w:ilvl w:val="0"/>
          <w:numId w:val="80"/>
        </w:numPr>
        <w:spacing w:after="160"/>
        <w:jc w:val="both"/>
        <w:rPr>
          <w:rFonts w:ascii="Century Gothic" w:hAnsi="Century Gothic" w:cs="ITC Franklin Gothic Std Book"/>
          <w:color w:val="000000"/>
          <w:sz w:val="22"/>
          <w:szCs w:val="22"/>
        </w:rPr>
      </w:pPr>
      <w:r>
        <w:rPr>
          <w:rFonts w:ascii="Century Gothic" w:hAnsi="Century Gothic" w:cs="ITC Franklin Gothic Std Book"/>
          <w:color w:val="000000"/>
          <w:sz w:val="22"/>
          <w:szCs w:val="22"/>
        </w:rPr>
        <w:t xml:space="preserve">El Oficial de Cumplimiento, a su vez evaluará y analizará los ROS con el fin de establecer si en efecto se trata o no de una operación sospechosa. </w:t>
      </w:r>
    </w:p>
    <w:p w14:paraId="6EF9E979">
      <w:pPr>
        <w:pStyle w:val="65"/>
        <w:numPr>
          <w:ilvl w:val="0"/>
          <w:numId w:val="80"/>
        </w:numPr>
        <w:autoSpaceDE w:val="0"/>
        <w:autoSpaceDN w:val="0"/>
        <w:adjustRightInd w:val="0"/>
        <w:rPr>
          <w:rFonts w:ascii="Century Gothic" w:hAnsi="Century Gothic" w:cs="Arial"/>
          <w:i/>
          <w:color w:val="FF0000"/>
          <w:sz w:val="22"/>
          <w:szCs w:val="22"/>
          <w:lang w:eastAsia="es-CO"/>
        </w:rPr>
      </w:pPr>
      <w:r>
        <w:rPr>
          <w:rFonts w:ascii="Century Gothic" w:hAnsi="Century Gothic" w:cs="ITC Franklin Gothic Std Book"/>
          <w:color w:val="000000"/>
          <w:sz w:val="22"/>
          <w:szCs w:val="22"/>
        </w:rPr>
        <w:t>Se debe llevar una la relación de los ROS que se detecten, para que el Oficial de Cumplimiento pueda evaluar el adecuado funcionamiento del SARLAFT.</w:t>
      </w:r>
    </w:p>
    <w:p w14:paraId="047EB45B">
      <w:pPr>
        <w:pStyle w:val="65"/>
        <w:autoSpaceDE w:val="0"/>
        <w:autoSpaceDN w:val="0"/>
        <w:adjustRightInd w:val="0"/>
        <w:ind w:left="720"/>
        <w:rPr>
          <w:rFonts w:ascii="Century Gothic" w:hAnsi="Century Gothic" w:cs="Arial"/>
          <w:i/>
          <w:color w:val="FF0000"/>
          <w:sz w:val="22"/>
          <w:szCs w:val="22"/>
          <w:lang w:eastAsia="es-CO"/>
        </w:rPr>
      </w:pPr>
    </w:p>
    <w:p w14:paraId="0BD9C208">
      <w:pPr>
        <w:pStyle w:val="65"/>
        <w:numPr>
          <w:ilvl w:val="0"/>
          <w:numId w:val="80"/>
        </w:numPr>
        <w:rPr>
          <w:rFonts w:ascii="Century Gothic" w:hAnsi="Century Gothic" w:cs="Arial"/>
          <w:sz w:val="22"/>
          <w:szCs w:val="22"/>
        </w:rPr>
      </w:pPr>
      <w:r>
        <w:rPr>
          <w:rFonts w:ascii="Century Gothic" w:hAnsi="Century Gothic" w:cs="Arial"/>
          <w:sz w:val="22"/>
          <w:szCs w:val="22"/>
        </w:rPr>
        <w:t>Durante los primeros cinco (5) días hábiles de cada trimestre, los empleados que tienen contacto con los clientes/asociados/proveedores y NO identifiquen situaciones irregulares, deben enviar Certificación o comunicado interno (e-mail) donde detallen que no hubo operaciones sospechosas en dicho período.</w:t>
      </w:r>
    </w:p>
    <w:p w14:paraId="3BF55E82">
      <w:pPr>
        <w:pStyle w:val="65"/>
        <w:rPr>
          <w:rFonts w:ascii="Century Gothic" w:hAnsi="Century Gothic" w:cs="Arial"/>
          <w:sz w:val="22"/>
          <w:szCs w:val="22"/>
        </w:rPr>
      </w:pPr>
    </w:p>
    <w:p w14:paraId="4F378482">
      <w:pPr>
        <w:rPr>
          <w:rFonts w:ascii="Century Gothic" w:hAnsi="Century Gothic" w:cs="Arial"/>
          <w:sz w:val="22"/>
          <w:szCs w:val="22"/>
        </w:rPr>
      </w:pPr>
      <w:r>
        <w:rPr>
          <w:rFonts w:ascii="Century Gothic" w:hAnsi="Century Gothic" w:cs="Arial"/>
          <w:b/>
          <w:sz w:val="22"/>
          <w:szCs w:val="22"/>
        </w:rPr>
        <w:t>Informe Trimestral al Consejo de Administración</w:t>
      </w:r>
    </w:p>
    <w:p w14:paraId="1FE33C8E">
      <w:pPr>
        <w:pStyle w:val="65"/>
        <w:ind w:left="360"/>
        <w:rPr>
          <w:rFonts w:ascii="Century Gothic" w:hAnsi="Century Gothic" w:cs="Arial"/>
          <w:b/>
          <w:sz w:val="22"/>
          <w:szCs w:val="22"/>
        </w:rPr>
      </w:pPr>
    </w:p>
    <w:p w14:paraId="6B96D871">
      <w:pPr>
        <w:autoSpaceDE w:val="0"/>
        <w:autoSpaceDN w:val="0"/>
        <w:adjustRightInd w:val="0"/>
        <w:spacing w:after="264"/>
        <w:contextualSpacing/>
        <w:rPr>
          <w:rFonts w:ascii="Century Gothic" w:hAnsi="Century Gothic" w:cs="Arial" w:eastAsiaTheme="minorHAnsi"/>
          <w:color w:val="000000"/>
          <w:sz w:val="22"/>
          <w:szCs w:val="22"/>
          <w:lang w:eastAsia="en-US"/>
        </w:rPr>
      </w:pPr>
      <w:r>
        <w:rPr>
          <w:rFonts w:ascii="Century Gothic" w:hAnsi="Century Gothic" w:cs="Arial"/>
          <w:sz w:val="22"/>
          <w:szCs w:val="22"/>
        </w:rPr>
        <w:t xml:space="preserve">Como resultado del trabajo adelantado con ocasión al SARLAFT en la Entidad, el oficial de cumplimiento presentará informes trimestrales al Consejo de Administración </w:t>
      </w:r>
      <w:r>
        <w:rPr>
          <w:rFonts w:ascii="Century Gothic" w:hAnsi="Century Gothic" w:cs="Arial" w:eastAsiaTheme="minorHAnsi"/>
          <w:color w:val="000000"/>
          <w:sz w:val="22"/>
          <w:szCs w:val="22"/>
          <w:lang w:eastAsia="en-US"/>
        </w:rPr>
        <w:t xml:space="preserve">el cual deberá abarcar por lo menos los siguientes aspectos: </w:t>
      </w:r>
    </w:p>
    <w:p w14:paraId="14FA647C">
      <w:pPr>
        <w:rPr>
          <w:rFonts w:ascii="Century Gothic" w:hAnsi="Century Gothic" w:cs="Arial"/>
          <w:sz w:val="22"/>
          <w:szCs w:val="22"/>
        </w:rPr>
      </w:pPr>
    </w:p>
    <w:p w14:paraId="64ED9F38">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Las políticas y programas desarrollados para cumplir su función y los resultados de la gestión realizada. </w:t>
      </w:r>
    </w:p>
    <w:p w14:paraId="0B020DB3">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El cumplimiento que se ha dado en relación con el envío de los reportes a las diferentes autoridades. </w:t>
      </w:r>
    </w:p>
    <w:p w14:paraId="68D44425">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Las políticas y programas adoptados para la actualización de la información de los asociados o clientes y los avances sobre la determinación de los perfiles de riesgo de los asociados o clientes y de los productos y servicios. </w:t>
      </w:r>
    </w:p>
    <w:p w14:paraId="32474185">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La efectividad de los mecanismos e instrumentos de control y las medidas adoptadas para corregir las fallas. </w:t>
      </w:r>
    </w:p>
    <w:p w14:paraId="72A94B61">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Los casos específicos de incumplimiento por parte de los funcionarios de la organización, así como los resultados de las órdenes impartidas por el órgano permanente de administración. </w:t>
      </w:r>
    </w:p>
    <w:p w14:paraId="63BDADB0">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eastAsiaTheme="minorHAnsi"/>
          <w:color w:val="000000"/>
          <w:sz w:val="22"/>
          <w:szCs w:val="22"/>
          <w:lang w:eastAsia="en-US"/>
        </w:rPr>
        <w:t xml:space="preserve">Los correctivos que considere necesarios, incluidas las propuestas de actualización o mejora de los mecanismos e instrumentos de control. </w:t>
      </w:r>
    </w:p>
    <w:p w14:paraId="7EBD370A">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sz w:val="22"/>
          <w:szCs w:val="22"/>
          <w:lang w:eastAsia="en-US"/>
        </w:rPr>
        <w:t>Los resultados de los correctivos ordenados por el Consejo de Administración.</w:t>
      </w:r>
    </w:p>
    <w:p w14:paraId="780D4D3C">
      <w:pPr>
        <w:pStyle w:val="65"/>
        <w:numPr>
          <w:ilvl w:val="0"/>
          <w:numId w:val="69"/>
        </w:numPr>
        <w:autoSpaceDE w:val="0"/>
        <w:autoSpaceDN w:val="0"/>
        <w:adjustRightInd w:val="0"/>
        <w:spacing w:after="264"/>
        <w:ind w:hanging="357"/>
        <w:contextualSpacing/>
        <w:rPr>
          <w:rFonts w:ascii="Century Gothic" w:hAnsi="Century Gothic" w:cs="Arial" w:eastAsiaTheme="minorHAnsi"/>
          <w:color w:val="000000"/>
          <w:sz w:val="22"/>
          <w:szCs w:val="22"/>
          <w:lang w:eastAsia="en-US"/>
        </w:rPr>
      </w:pPr>
      <w:r>
        <w:rPr>
          <w:rFonts w:ascii="Century Gothic" w:hAnsi="Century Gothic" w:cs="Arial"/>
          <w:sz w:val="22"/>
          <w:szCs w:val="22"/>
          <w:lang w:eastAsia="en-US"/>
        </w:rPr>
        <w:t xml:space="preserve">Los documentos y pronunciamientos emanados de las entidades de control y de la Unidad Administrativa Especial de Información y Análisis Financiero – UIAF. Cuando sea el caso </w:t>
      </w:r>
    </w:p>
    <w:p w14:paraId="54EFCAF5">
      <w:pPr>
        <w:pStyle w:val="65"/>
        <w:autoSpaceDE w:val="0"/>
        <w:autoSpaceDN w:val="0"/>
        <w:adjustRightInd w:val="0"/>
        <w:spacing w:after="264"/>
        <w:ind w:left="785"/>
        <w:contextualSpacing/>
        <w:rPr>
          <w:rFonts w:ascii="Century Gothic" w:hAnsi="Century Gothic" w:cs="Arial" w:eastAsiaTheme="minorHAnsi"/>
          <w:color w:val="000000"/>
          <w:sz w:val="22"/>
          <w:szCs w:val="22"/>
          <w:lang w:eastAsia="en-US"/>
        </w:rPr>
      </w:pPr>
    </w:p>
    <w:p w14:paraId="10DC735F">
      <w:pPr>
        <w:pStyle w:val="65"/>
        <w:numPr>
          <w:ilvl w:val="3"/>
          <w:numId w:val="8"/>
        </w:numPr>
        <w:autoSpaceDE w:val="0"/>
        <w:autoSpaceDN w:val="0"/>
        <w:adjustRightInd w:val="0"/>
        <w:rPr>
          <w:rFonts w:ascii="Century Gothic" w:hAnsi="Century Gothic" w:cs="Arial"/>
          <w:b/>
          <w:sz w:val="22"/>
          <w:szCs w:val="22"/>
          <w:lang w:eastAsia="es-CO"/>
        </w:rPr>
      </w:pPr>
      <w:r>
        <w:rPr>
          <w:rFonts w:ascii="Century Gothic" w:hAnsi="Century Gothic" w:cs="Arial"/>
          <w:b/>
          <w:sz w:val="22"/>
          <w:szCs w:val="22"/>
          <w:lang w:eastAsia="es-CO"/>
        </w:rPr>
        <w:t>REPORTES EXTERNOS</w:t>
      </w:r>
    </w:p>
    <w:p w14:paraId="7442B689">
      <w:pPr>
        <w:autoSpaceDE w:val="0"/>
        <w:autoSpaceDN w:val="0"/>
        <w:adjustRightInd w:val="0"/>
        <w:jc w:val="center"/>
        <w:rPr>
          <w:rFonts w:ascii="Century Gothic" w:hAnsi="Century Gothic" w:cs="Arial"/>
          <w:b/>
          <w:sz w:val="22"/>
          <w:szCs w:val="22"/>
          <w:lang w:eastAsia="es-CO"/>
        </w:rPr>
      </w:pPr>
    </w:p>
    <w:p w14:paraId="3E619A5C">
      <w:pPr>
        <w:rPr>
          <w:rFonts w:ascii="Century Gothic" w:hAnsi="Century Gothic" w:cs="Arial"/>
          <w:sz w:val="22"/>
          <w:szCs w:val="22"/>
        </w:rPr>
      </w:pPr>
      <w:r>
        <w:rPr>
          <w:rFonts w:ascii="Century Gothic" w:hAnsi="Century Gothic" w:cs="Arial"/>
          <w:sz w:val="22"/>
          <w:szCs w:val="22"/>
        </w:rPr>
        <w:t>Cuando la Entidad sea requerida por autoridades u organismos externos para producir reportes o información relacionada con el tema del LA/FT, es responsabilidad del Oficial de Cumplimiento su atención y cumplimiento oportuno.</w:t>
      </w:r>
    </w:p>
    <w:p w14:paraId="416B872D">
      <w:pPr>
        <w:rPr>
          <w:rFonts w:ascii="Century Gothic" w:hAnsi="Century Gothic" w:cs="Arial"/>
          <w:sz w:val="22"/>
          <w:szCs w:val="22"/>
        </w:rPr>
      </w:pPr>
    </w:p>
    <w:p w14:paraId="552D9553">
      <w:pPr>
        <w:rPr>
          <w:rFonts w:ascii="Century Gothic" w:hAnsi="Century Gothic" w:cs="Arial"/>
          <w:spacing w:val="-4"/>
          <w:sz w:val="22"/>
          <w:szCs w:val="22"/>
        </w:rPr>
      </w:pPr>
      <w:r>
        <w:rPr>
          <w:rFonts w:ascii="Century Gothic" w:hAnsi="Century Gothic" w:cs="Arial"/>
          <w:spacing w:val="-4"/>
          <w:sz w:val="22"/>
          <w:szCs w:val="22"/>
        </w:rPr>
        <w:t>Los reportes externos deben ser enviados a la UIAF y/o demás autoridades competentes, atendiendo los mecanismos establecidos por dicho organismo acorde a instrucciones plasmadas en la normatividad que genere la Superintendencia de la Economía Solidaria.</w:t>
      </w:r>
    </w:p>
    <w:p w14:paraId="50C67209">
      <w:pPr>
        <w:rPr>
          <w:rFonts w:ascii="Century Gothic" w:hAnsi="Century Gothic" w:cs="Arial"/>
          <w:sz w:val="22"/>
          <w:szCs w:val="22"/>
        </w:rPr>
      </w:pPr>
    </w:p>
    <w:p w14:paraId="681197C9">
      <w:pPr>
        <w:rPr>
          <w:rFonts w:ascii="Century Gothic" w:hAnsi="Century Gothic" w:cs="Arial"/>
          <w:sz w:val="22"/>
          <w:szCs w:val="22"/>
        </w:rPr>
      </w:pPr>
      <w:r>
        <w:rPr>
          <w:rFonts w:ascii="Century Gothic" w:hAnsi="Century Gothic" w:cs="Arial"/>
          <w:sz w:val="22"/>
          <w:szCs w:val="22"/>
        </w:rPr>
        <w:t>Los siguientes son los reportes obligatorios que aplican hoy para la Entidad:</w:t>
      </w:r>
    </w:p>
    <w:p w14:paraId="3B03359F">
      <w:pPr>
        <w:pStyle w:val="4"/>
        <w:rPr>
          <w:rFonts w:ascii="Century Gothic" w:hAnsi="Century Gothic"/>
          <w:sz w:val="22"/>
          <w:szCs w:val="22"/>
        </w:rPr>
      </w:pPr>
      <w:bookmarkStart w:id="134" w:name="_Toc487230447"/>
      <w:r>
        <w:rPr>
          <w:rFonts w:ascii="Century Gothic" w:hAnsi="Century Gothic"/>
          <w:sz w:val="22"/>
          <w:szCs w:val="22"/>
        </w:rPr>
        <w:t>Reporte de Operaciones Sospechosas (ROS)</w:t>
      </w:r>
      <w:bookmarkEnd w:id="134"/>
    </w:p>
    <w:p w14:paraId="052CEEC1"/>
    <w:p w14:paraId="27D01B5C">
      <w:pPr>
        <w:pStyle w:val="65"/>
        <w:numPr>
          <w:ilvl w:val="0"/>
          <w:numId w:val="81"/>
        </w:numPr>
        <w:rPr>
          <w:rFonts w:ascii="Century Gothic" w:hAnsi="Century Gothic" w:cs="Arial"/>
          <w:sz w:val="22"/>
          <w:szCs w:val="22"/>
          <w:lang w:eastAsia="en-US"/>
        </w:rPr>
      </w:pPr>
      <w:r>
        <w:rPr>
          <w:rFonts w:ascii="Century Gothic" w:hAnsi="Century Gothic" w:cs="Arial"/>
          <w:sz w:val="22"/>
          <w:szCs w:val="22"/>
          <w:lang w:eastAsia="en-US"/>
        </w:rPr>
        <w:t xml:space="preserve">La Entidad deberá reportar a la UIAF en forma inmediata las operaciones que determine como sospechosas, de acuerdo con lo previsto en el presente manual, el instructivo y el formato establecido. Así mismo se deberán reportar las operaciones intentadas o rechazadas que contengan características que le otorguen el carácter de sospechosas. </w:t>
      </w:r>
    </w:p>
    <w:p w14:paraId="75B66991">
      <w:pPr>
        <w:pStyle w:val="65"/>
        <w:ind w:left="360"/>
        <w:rPr>
          <w:rFonts w:ascii="Century Gothic" w:hAnsi="Century Gothic" w:cs="Arial"/>
          <w:sz w:val="22"/>
          <w:szCs w:val="22"/>
          <w:lang w:eastAsia="en-US"/>
        </w:rPr>
      </w:pPr>
    </w:p>
    <w:p w14:paraId="71FCD503">
      <w:pPr>
        <w:pStyle w:val="65"/>
        <w:ind w:left="360"/>
        <w:rPr>
          <w:rFonts w:ascii="Century Gothic" w:hAnsi="Century Gothic" w:cs="Arial"/>
          <w:sz w:val="22"/>
          <w:szCs w:val="22"/>
          <w:lang w:eastAsia="en-US"/>
        </w:rPr>
      </w:pPr>
      <w:r>
        <w:rPr>
          <w:rFonts w:ascii="Century Gothic" w:hAnsi="Century Gothic" w:cs="Arial"/>
          <w:sz w:val="22"/>
          <w:szCs w:val="22"/>
          <w:lang w:eastAsia="en-US"/>
        </w:rPr>
        <w:t xml:space="preserve">Se entiende por inmediato el momento a partir del cual la entidad toma la decisión de catalogarlo como tal, todo esto deberá realizarse durante un tiempo razonable, a más tardar el día hábil siguiente. </w:t>
      </w:r>
    </w:p>
    <w:p w14:paraId="0B84BF51">
      <w:pPr>
        <w:pStyle w:val="65"/>
        <w:ind w:left="360"/>
        <w:rPr>
          <w:rFonts w:ascii="Century Gothic" w:hAnsi="Century Gothic" w:cs="Arial"/>
          <w:sz w:val="22"/>
          <w:szCs w:val="22"/>
          <w:lang w:eastAsia="en-US"/>
        </w:rPr>
      </w:pPr>
    </w:p>
    <w:p w14:paraId="7EAC3733">
      <w:pPr>
        <w:pStyle w:val="65"/>
        <w:ind w:left="360"/>
        <w:rPr>
          <w:rFonts w:ascii="Century Gothic" w:hAnsi="Century Gothic" w:cs="Arial"/>
          <w:sz w:val="22"/>
          <w:szCs w:val="22"/>
          <w:lang w:eastAsia="en-US"/>
        </w:rPr>
      </w:pPr>
      <w:r>
        <w:rPr>
          <w:rFonts w:ascii="Century Gothic" w:hAnsi="Century Gothic" w:cs="Arial"/>
          <w:sz w:val="22"/>
          <w:szCs w:val="22"/>
          <w:lang w:eastAsia="en-US"/>
        </w:rPr>
        <w:t xml:space="preserve">En estos casos no se requiere que la Entidad tenga certeza de que se trata de una actividad delictiva, ni identificar el tipo penal o que los recursos involucrados provienen de tales actividades. </w:t>
      </w:r>
    </w:p>
    <w:p w14:paraId="2FCEA93F">
      <w:pPr>
        <w:pStyle w:val="65"/>
        <w:ind w:left="360"/>
        <w:rPr>
          <w:rFonts w:ascii="Century Gothic" w:hAnsi="Century Gothic" w:cs="Arial"/>
          <w:sz w:val="22"/>
          <w:szCs w:val="22"/>
          <w:lang w:eastAsia="en-US"/>
        </w:rPr>
      </w:pPr>
    </w:p>
    <w:p w14:paraId="263FAA55">
      <w:pPr>
        <w:pStyle w:val="65"/>
        <w:numPr>
          <w:ilvl w:val="0"/>
          <w:numId w:val="81"/>
        </w:numPr>
        <w:rPr>
          <w:rFonts w:ascii="Century Gothic" w:hAnsi="Century Gothic" w:cs="Arial"/>
          <w:sz w:val="22"/>
          <w:szCs w:val="22"/>
          <w:lang w:eastAsia="en-US"/>
        </w:rPr>
      </w:pPr>
      <w:r>
        <w:rPr>
          <w:rFonts w:ascii="Century Gothic" w:hAnsi="Century Gothic" w:cs="Arial"/>
          <w:sz w:val="22"/>
          <w:szCs w:val="22"/>
          <w:lang w:eastAsia="en-US"/>
        </w:rPr>
        <w:t>El reporte de operaciones sospechosas no dará lugar a ningún tipo de responsabilidad para la Entidad como ente reportante, ni para los directivos o empleados que hayan participado en su detección y/o reporte, de acuerdo con lo señalado en el artículo 42 de la Ley 190 de 1995.</w:t>
      </w:r>
    </w:p>
    <w:p w14:paraId="73764D8D">
      <w:pPr>
        <w:pStyle w:val="65"/>
        <w:ind w:left="360"/>
        <w:rPr>
          <w:rFonts w:ascii="Century Gothic" w:hAnsi="Century Gothic" w:cs="Arial"/>
          <w:sz w:val="22"/>
          <w:szCs w:val="22"/>
          <w:lang w:eastAsia="en-US"/>
        </w:rPr>
      </w:pPr>
    </w:p>
    <w:p w14:paraId="1C8A0FCA">
      <w:pPr>
        <w:pStyle w:val="65"/>
        <w:numPr>
          <w:ilvl w:val="0"/>
          <w:numId w:val="81"/>
        </w:numPr>
        <w:rPr>
          <w:rFonts w:ascii="Century Gothic" w:hAnsi="Century Gothic" w:cs="Arial"/>
          <w:sz w:val="22"/>
          <w:szCs w:val="22"/>
          <w:lang w:eastAsia="en-US"/>
        </w:rPr>
      </w:pPr>
      <w:r>
        <w:rPr>
          <w:rFonts w:ascii="Century Gothic" w:hAnsi="Century Gothic" w:cs="Arial"/>
          <w:sz w:val="22"/>
          <w:szCs w:val="22"/>
          <w:lang w:eastAsia="en-US"/>
        </w:rPr>
        <w:t>Tanto a la Entidad como al oficial de cumplimiento le corresponderá garantizar la reserva del reporte de una operación sospechosas remitido a la UIAF, tal como lo dispone el artículo 2 de la ley 1121 de 2006.</w:t>
      </w:r>
    </w:p>
    <w:p w14:paraId="778C6BB5">
      <w:pPr>
        <w:pStyle w:val="65"/>
        <w:ind w:left="360"/>
        <w:rPr>
          <w:rFonts w:ascii="Century Gothic" w:hAnsi="Century Gothic" w:cs="Arial"/>
          <w:sz w:val="22"/>
          <w:szCs w:val="22"/>
          <w:lang w:eastAsia="en-US"/>
        </w:rPr>
      </w:pPr>
    </w:p>
    <w:p w14:paraId="610CE8DA">
      <w:pPr>
        <w:pStyle w:val="65"/>
        <w:numPr>
          <w:ilvl w:val="0"/>
          <w:numId w:val="81"/>
        </w:numPr>
        <w:rPr>
          <w:rFonts w:ascii="Century Gothic" w:hAnsi="Century Gothic" w:cs="Arial"/>
          <w:sz w:val="22"/>
          <w:szCs w:val="22"/>
          <w:lang w:eastAsia="en-US"/>
        </w:rPr>
      </w:pPr>
      <w:r>
        <w:rPr>
          <w:rFonts w:ascii="Century Gothic" w:hAnsi="Century Gothic" w:cs="Arial"/>
          <w:sz w:val="22"/>
          <w:szCs w:val="22"/>
          <w:lang w:eastAsia="en-US"/>
        </w:rPr>
        <w:t>Para efectos del reporte de las operaciones intentadas, rechazadas y las tentativas de vinculación comercial, se deberán observar los términos y condiciones técnicas establecidas por la UIAF.</w:t>
      </w:r>
    </w:p>
    <w:p w14:paraId="474DD4D4">
      <w:pPr>
        <w:pStyle w:val="4"/>
        <w:rPr>
          <w:rFonts w:ascii="Century Gothic" w:hAnsi="Century Gothic"/>
          <w:sz w:val="22"/>
          <w:szCs w:val="22"/>
        </w:rPr>
      </w:pPr>
      <w:r>
        <w:rPr>
          <w:rFonts w:ascii="Century Gothic" w:hAnsi="Century Gothic"/>
          <w:sz w:val="22"/>
          <w:szCs w:val="22"/>
        </w:rPr>
        <w:t xml:space="preserve">Reporte de Ausencia de Operaciones Sospechosas </w:t>
      </w:r>
    </w:p>
    <w:p w14:paraId="0FEA967F">
      <w:pPr>
        <w:rPr>
          <w:rFonts w:ascii="Century Gothic" w:hAnsi="Century Gothic" w:cs="Arial"/>
          <w:spacing w:val="-4"/>
          <w:sz w:val="22"/>
          <w:szCs w:val="22"/>
        </w:rPr>
      </w:pPr>
    </w:p>
    <w:p w14:paraId="359C3292">
      <w:pPr>
        <w:pStyle w:val="65"/>
        <w:numPr>
          <w:ilvl w:val="0"/>
          <w:numId w:val="82"/>
        </w:numPr>
        <w:rPr>
          <w:rFonts w:ascii="Century Gothic" w:hAnsi="Century Gothic"/>
          <w:sz w:val="22"/>
          <w:szCs w:val="22"/>
        </w:rPr>
      </w:pPr>
      <w:r>
        <w:rPr>
          <w:rFonts w:ascii="Century Gothic" w:hAnsi="Century Gothic" w:cs="Arial"/>
          <w:spacing w:val="-4"/>
          <w:sz w:val="22"/>
          <w:szCs w:val="22"/>
        </w:rPr>
        <w:t>En caso que durante el respectivo período, la Entidad no haya determinado la existencia de operaciones sospechosas, el Oficial de Cumplimiento debe informar este hecho a la UIAF por medio del reporte negativo de operaciones sospechosas y notificar por medio del SIREL (</w:t>
      </w:r>
      <w:bookmarkStart w:id="135" w:name="_Toc487230448"/>
      <w:r>
        <w:rPr>
          <w:rFonts w:ascii="Century Gothic" w:hAnsi="Century Gothic" w:cs="Arial"/>
          <w:spacing w:val="-4"/>
          <w:sz w:val="22"/>
          <w:szCs w:val="22"/>
        </w:rPr>
        <w:t xml:space="preserve">aplicativo en línea de la UIAF), </w:t>
      </w:r>
      <w:r>
        <w:rPr>
          <w:rFonts w:ascii="Century Gothic" w:hAnsi="Century Gothic" w:cs="Arial"/>
          <w:sz w:val="22"/>
          <w:szCs w:val="22"/>
          <w:lang w:eastAsia="es-CO"/>
        </w:rPr>
        <w:t>dentro de los diez (10) primeros días del mes siguiente al del corte.</w:t>
      </w:r>
    </w:p>
    <w:p w14:paraId="444CD9DD">
      <w:pPr>
        <w:rPr>
          <w:rFonts w:ascii="Century Gothic" w:hAnsi="Century Gothic"/>
          <w:sz w:val="22"/>
          <w:szCs w:val="22"/>
          <w:lang w:val="es-ES"/>
        </w:rPr>
      </w:pPr>
    </w:p>
    <w:p w14:paraId="534ED06C">
      <w:pPr>
        <w:rPr>
          <w:rFonts w:ascii="Century Gothic" w:hAnsi="Century Gothic"/>
          <w:b/>
          <w:sz w:val="22"/>
          <w:szCs w:val="22"/>
        </w:rPr>
      </w:pPr>
      <w:r>
        <w:rPr>
          <w:rFonts w:ascii="Century Gothic" w:hAnsi="Century Gothic"/>
          <w:b/>
          <w:sz w:val="22"/>
          <w:szCs w:val="22"/>
        </w:rPr>
        <w:t>Reporte de Transacciones en efectivo</w:t>
      </w:r>
      <w:bookmarkEnd w:id="135"/>
    </w:p>
    <w:p w14:paraId="119E909C">
      <w:pPr>
        <w:rPr>
          <w:rFonts w:ascii="Century Gothic" w:hAnsi="Century Gothic"/>
          <w:sz w:val="22"/>
          <w:szCs w:val="22"/>
        </w:rPr>
      </w:pPr>
    </w:p>
    <w:p w14:paraId="0B1E6E31">
      <w:pPr>
        <w:rPr>
          <w:rFonts w:ascii="Century Gothic" w:hAnsi="Century Gothic" w:cs="Arial"/>
          <w:spacing w:val="-4"/>
          <w:sz w:val="22"/>
          <w:szCs w:val="22"/>
        </w:rPr>
      </w:pPr>
      <w:r>
        <w:rPr>
          <w:rFonts w:ascii="Century Gothic" w:hAnsi="Century Gothic" w:cs="Arial"/>
          <w:spacing w:val="-4"/>
          <w:sz w:val="22"/>
          <w:szCs w:val="22"/>
        </w:rPr>
        <w:t>Se entenderá por transacciones en efectivo, todas aquellas transacciones que en desarrollo del giro ordinario de los negocios, involucren entrega o recibo de dinero en efectivo en billetes o moneda legal colombiana o extranjera.</w:t>
      </w:r>
    </w:p>
    <w:p w14:paraId="29760626">
      <w:pPr>
        <w:rPr>
          <w:rFonts w:ascii="Century Gothic" w:hAnsi="Century Gothic" w:cs="Arial"/>
          <w:spacing w:val="-4"/>
          <w:sz w:val="22"/>
          <w:szCs w:val="22"/>
        </w:rPr>
      </w:pPr>
    </w:p>
    <w:p w14:paraId="2FD6AA0F">
      <w:pPr>
        <w:rPr>
          <w:rFonts w:ascii="Century Gothic" w:hAnsi="Century Gothic" w:cs="Arial"/>
          <w:spacing w:val="-4"/>
          <w:sz w:val="22"/>
          <w:szCs w:val="22"/>
        </w:rPr>
      </w:pPr>
      <w:r>
        <w:rPr>
          <w:rFonts w:ascii="Century Gothic" w:hAnsi="Century Gothic" w:cs="Arial"/>
          <w:spacing w:val="-4"/>
          <w:sz w:val="22"/>
          <w:szCs w:val="22"/>
        </w:rPr>
        <w:t>El reporte de transacciones en efectivo comprende:</w:t>
      </w:r>
    </w:p>
    <w:p w14:paraId="5946DB83">
      <w:pPr>
        <w:pStyle w:val="47"/>
        <w:rPr>
          <w:rFonts w:ascii="Century Gothic" w:hAnsi="Century Gothic" w:cs="Arial"/>
          <w:szCs w:val="22"/>
          <w:lang w:val="es-CO"/>
        </w:rPr>
      </w:pPr>
    </w:p>
    <w:p w14:paraId="0E60172C">
      <w:pPr>
        <w:pStyle w:val="65"/>
        <w:numPr>
          <w:ilvl w:val="3"/>
          <w:numId w:val="12"/>
        </w:numPr>
        <w:rPr>
          <w:rFonts w:ascii="Century Gothic" w:hAnsi="Century Gothic" w:cs="Arial"/>
          <w:b/>
          <w:spacing w:val="-4"/>
          <w:sz w:val="22"/>
          <w:szCs w:val="22"/>
        </w:rPr>
      </w:pPr>
      <w:r>
        <w:rPr>
          <w:rFonts w:ascii="Century Gothic" w:hAnsi="Century Gothic" w:cs="Arial"/>
          <w:b/>
          <w:spacing w:val="-4"/>
          <w:sz w:val="22"/>
          <w:szCs w:val="22"/>
        </w:rPr>
        <w:t>Transacciones individuales en efectivo</w:t>
      </w:r>
    </w:p>
    <w:p w14:paraId="176599A6">
      <w:pPr>
        <w:rPr>
          <w:rFonts w:ascii="Century Gothic" w:hAnsi="Century Gothic" w:cs="Arial"/>
          <w:spacing w:val="-4"/>
          <w:sz w:val="22"/>
          <w:szCs w:val="22"/>
        </w:rPr>
      </w:pPr>
    </w:p>
    <w:p w14:paraId="2FC444A8">
      <w:pPr>
        <w:pStyle w:val="65"/>
        <w:numPr>
          <w:ilvl w:val="0"/>
          <w:numId w:val="83"/>
        </w:numPr>
        <w:rPr>
          <w:rFonts w:ascii="Century Gothic" w:hAnsi="Century Gothic" w:cs="Arial"/>
          <w:spacing w:val="-4"/>
          <w:sz w:val="22"/>
          <w:szCs w:val="22"/>
        </w:rPr>
      </w:pPr>
      <w:r>
        <w:rPr>
          <w:rFonts w:ascii="Century Gothic" w:hAnsi="Century Gothic" w:cs="Arial"/>
          <w:spacing w:val="-4"/>
          <w:sz w:val="22"/>
          <w:szCs w:val="22"/>
        </w:rPr>
        <w:t>La Entidad reportará las transacciones individuales en efectivo cuyo valor, sea igual o superior a diez millones de pesos ($10.000.000) si es en moneda legal o cinco mil dólares de los Estados Unidos de América (USD5.000) o su equivalente en otras monedas, según la tasa de cambio en dólares americanos del día en que se realice la operación, de acuerdo con la certificación de la TCRM que expida la Superintendencia Financiera de Colombia.</w:t>
      </w:r>
    </w:p>
    <w:p w14:paraId="178AA239">
      <w:pPr>
        <w:rPr>
          <w:rFonts w:ascii="Century Gothic" w:hAnsi="Century Gothic" w:cs="Arial"/>
          <w:spacing w:val="-4"/>
          <w:sz w:val="22"/>
          <w:szCs w:val="22"/>
        </w:rPr>
      </w:pPr>
    </w:p>
    <w:p w14:paraId="3C7E193B">
      <w:pPr>
        <w:pStyle w:val="65"/>
        <w:numPr>
          <w:ilvl w:val="0"/>
          <w:numId w:val="83"/>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La Entidad reportará trimestralmente (o la periodicidad que le obligue) a la UIAF, dentro de los diez (10) días calendario del mes siguiente al del corte, el informe sobre las transacciones individuales en efectivo, de acuerdo a las condiciones indicadas por la UIAF.</w:t>
      </w:r>
    </w:p>
    <w:p w14:paraId="4C9AD2EF">
      <w:pPr>
        <w:pStyle w:val="65"/>
        <w:autoSpaceDE w:val="0"/>
        <w:autoSpaceDN w:val="0"/>
        <w:adjustRightInd w:val="0"/>
        <w:ind w:left="720"/>
        <w:rPr>
          <w:rFonts w:ascii="Century Gothic" w:hAnsi="Century Gothic" w:cs="Arial"/>
          <w:sz w:val="22"/>
          <w:szCs w:val="22"/>
          <w:lang w:eastAsia="es-CO"/>
        </w:rPr>
      </w:pPr>
    </w:p>
    <w:p w14:paraId="6A9B073E">
      <w:pPr>
        <w:pStyle w:val="65"/>
        <w:numPr>
          <w:ilvl w:val="0"/>
          <w:numId w:val="83"/>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En el evento que no se realicen tales transacciones, la Entidad enviará a la UIAF el reporte de ausencia de operaciones en efectivo a través del Sistema de Reporte en Línea (SIREL) con la misma periodicidad señalada anteriormente.</w:t>
      </w:r>
    </w:p>
    <w:p w14:paraId="5871CF5B">
      <w:pPr>
        <w:rPr>
          <w:rFonts w:ascii="Century Gothic" w:hAnsi="Century Gothic" w:cs="Arial"/>
          <w:spacing w:val="-4"/>
          <w:sz w:val="22"/>
          <w:szCs w:val="22"/>
          <w:lang w:val="es-ES"/>
        </w:rPr>
      </w:pPr>
    </w:p>
    <w:p w14:paraId="212CBD3D">
      <w:pPr>
        <w:pStyle w:val="65"/>
        <w:numPr>
          <w:ilvl w:val="3"/>
          <w:numId w:val="12"/>
        </w:numPr>
        <w:rPr>
          <w:rFonts w:ascii="Century Gothic" w:hAnsi="Century Gothic" w:cs="Arial"/>
          <w:b/>
          <w:spacing w:val="-4"/>
          <w:sz w:val="22"/>
          <w:szCs w:val="22"/>
        </w:rPr>
      </w:pPr>
      <w:r>
        <w:rPr>
          <w:rFonts w:ascii="Century Gothic" w:hAnsi="Century Gothic" w:cs="Arial"/>
          <w:b/>
          <w:spacing w:val="-4"/>
          <w:sz w:val="22"/>
          <w:szCs w:val="22"/>
        </w:rPr>
        <w:t>Transacciones múltiples en efectivo</w:t>
      </w:r>
    </w:p>
    <w:p w14:paraId="4C648535">
      <w:pPr>
        <w:rPr>
          <w:rFonts w:ascii="Century Gothic" w:hAnsi="Century Gothic" w:cs="Arial"/>
          <w:spacing w:val="-4"/>
          <w:sz w:val="22"/>
          <w:szCs w:val="22"/>
        </w:rPr>
      </w:pPr>
    </w:p>
    <w:p w14:paraId="475716FF">
      <w:pPr>
        <w:pStyle w:val="65"/>
        <w:numPr>
          <w:ilvl w:val="0"/>
          <w:numId w:val="83"/>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La Organización reportará  las transacciones en efectivo que se realicen en  la Entidad , durante el trimestre (o la periodicidad que le obligue), por o en beneficio de una misma persona y que en su conjunto igualen o superen los cincuenta millones de pesos ($50.000.000) si es en moneda legal o veinticinco mil dólares de los Estados Unidos de América (USD25.000) o su equivalente en otras monedas, según la tasa de cambio en dólares americanos del día en que se realice la operación, de acuerdo con la certificación de la TRM que expida la Superintendencia Financiera de Colombia.</w:t>
      </w:r>
    </w:p>
    <w:p w14:paraId="731A1F2F">
      <w:pPr>
        <w:pStyle w:val="65"/>
        <w:autoSpaceDE w:val="0"/>
        <w:autoSpaceDN w:val="0"/>
        <w:adjustRightInd w:val="0"/>
        <w:ind w:left="720"/>
        <w:rPr>
          <w:rFonts w:ascii="Century Gothic" w:hAnsi="Century Gothic" w:cs="Arial"/>
          <w:sz w:val="22"/>
          <w:szCs w:val="22"/>
          <w:lang w:eastAsia="es-CO"/>
        </w:rPr>
      </w:pPr>
    </w:p>
    <w:p w14:paraId="4C2B3327">
      <w:pPr>
        <w:pStyle w:val="65"/>
        <w:numPr>
          <w:ilvl w:val="0"/>
          <w:numId w:val="83"/>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La Entidad reportará trimestralmente (o la periodicidad que le obligue) a la UIAF, dentro de los diez (10) días calendario del mes siguiente al del corte, el informe sobre las transacciones múltiples en efectivo, de acuerdo a las condiciones indicadas por la UIAF.</w:t>
      </w:r>
    </w:p>
    <w:p w14:paraId="30563A5B">
      <w:pPr>
        <w:pStyle w:val="65"/>
        <w:autoSpaceDE w:val="0"/>
        <w:autoSpaceDN w:val="0"/>
        <w:adjustRightInd w:val="0"/>
        <w:ind w:left="720"/>
        <w:rPr>
          <w:rFonts w:ascii="Century Gothic" w:hAnsi="Century Gothic" w:cs="Arial"/>
          <w:sz w:val="22"/>
          <w:szCs w:val="22"/>
          <w:lang w:eastAsia="es-CO"/>
        </w:rPr>
      </w:pPr>
    </w:p>
    <w:p w14:paraId="77099111">
      <w:pPr>
        <w:pStyle w:val="65"/>
        <w:numPr>
          <w:ilvl w:val="0"/>
          <w:numId w:val="83"/>
        </w:num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En el evento que no se realicen tales transacciones, la Entidad enviará a la UIAF el reporte de ausencia de operaciones en efectivo a través del Sistema de Reporte en Línea (SIREL) con la misma periodicidad señalada anteriormente.</w:t>
      </w:r>
    </w:p>
    <w:p w14:paraId="6E8482E7">
      <w:pPr>
        <w:pStyle w:val="65"/>
        <w:rPr>
          <w:rFonts w:ascii="Century Gothic" w:hAnsi="Century Gothic" w:cs="Arial"/>
          <w:sz w:val="22"/>
          <w:szCs w:val="22"/>
          <w:lang w:eastAsia="es-CO"/>
        </w:rPr>
      </w:pPr>
    </w:p>
    <w:p w14:paraId="450F3B7A">
      <w:pPr>
        <w:pStyle w:val="4"/>
        <w:rPr>
          <w:rFonts w:ascii="Century Gothic" w:hAnsi="Century Gothic"/>
          <w:sz w:val="22"/>
          <w:szCs w:val="22"/>
        </w:rPr>
      </w:pPr>
      <w:bookmarkStart w:id="136" w:name="_Toc487230449"/>
      <w:r>
        <w:rPr>
          <w:rFonts w:ascii="Century Gothic" w:hAnsi="Century Gothic"/>
          <w:sz w:val="22"/>
          <w:szCs w:val="22"/>
        </w:rPr>
        <w:t>Reporte de Asociados exonerados del registro de transacciones en efectivo</w:t>
      </w:r>
      <w:bookmarkEnd w:id="136"/>
    </w:p>
    <w:p w14:paraId="74698C5C">
      <w:pPr>
        <w:rPr>
          <w:rFonts w:ascii="Century Gothic" w:hAnsi="Century Gothic" w:cs="Arial"/>
          <w:spacing w:val="-4"/>
          <w:sz w:val="22"/>
          <w:szCs w:val="22"/>
        </w:rPr>
      </w:pPr>
    </w:p>
    <w:p w14:paraId="103AABD9">
      <w:pPr>
        <w:rPr>
          <w:rFonts w:ascii="Century Gothic" w:hAnsi="Century Gothic" w:cs="Arial"/>
          <w:sz w:val="22"/>
          <w:szCs w:val="22"/>
          <w:lang w:eastAsia="en-US"/>
        </w:rPr>
      </w:pPr>
      <w:r>
        <w:rPr>
          <w:rFonts w:ascii="Century Gothic" w:hAnsi="Century Gothic" w:cs="Arial"/>
          <w:sz w:val="22"/>
          <w:szCs w:val="22"/>
          <w:lang w:eastAsia="en-US"/>
        </w:rPr>
        <w:t xml:space="preserve">Aquellos clientes que por el giro normal de sus negocios realicen numerosas transacciones en efectivo pueden ser excluidos del reporte de transacciones en efectivo que debe realizar la Entidad a la UIAF. </w:t>
      </w:r>
    </w:p>
    <w:p w14:paraId="35DF5237">
      <w:pPr>
        <w:rPr>
          <w:rFonts w:ascii="Century Gothic" w:hAnsi="Century Gothic" w:cs="Arial"/>
          <w:sz w:val="22"/>
          <w:szCs w:val="22"/>
          <w:lang w:eastAsia="en-US"/>
        </w:rPr>
      </w:pPr>
    </w:p>
    <w:p w14:paraId="5361CC2A">
      <w:pPr>
        <w:rPr>
          <w:rFonts w:ascii="Century Gothic" w:hAnsi="Century Gothic" w:cs="Arial"/>
          <w:sz w:val="22"/>
          <w:szCs w:val="22"/>
          <w:lang w:eastAsia="en-US"/>
        </w:rPr>
      </w:pPr>
      <w:r>
        <w:rPr>
          <w:rFonts w:ascii="Century Gothic" w:hAnsi="Century Gothic" w:cs="Arial"/>
          <w:sz w:val="22"/>
          <w:szCs w:val="22"/>
          <w:lang w:eastAsia="en-US"/>
        </w:rPr>
        <w:t>Copia de los documentos que soportan el estudio realizado para la exoneración del reporte, debe conservarse y archivarse en forma centralizada en la Entidad.</w:t>
      </w:r>
    </w:p>
    <w:p w14:paraId="69E24C55">
      <w:pPr>
        <w:rPr>
          <w:rFonts w:ascii="Century Gothic" w:hAnsi="Century Gothic" w:cs="Arial"/>
          <w:sz w:val="22"/>
          <w:szCs w:val="22"/>
          <w:lang w:eastAsia="en-US"/>
        </w:rPr>
      </w:pPr>
    </w:p>
    <w:p w14:paraId="29975A5B">
      <w:pPr>
        <w:rPr>
          <w:rFonts w:ascii="Century Gothic" w:hAnsi="Century Gothic" w:cs="Arial"/>
          <w:sz w:val="22"/>
          <w:szCs w:val="22"/>
          <w:lang w:eastAsia="en-US"/>
        </w:rPr>
      </w:pPr>
      <w:r>
        <w:rPr>
          <w:rFonts w:ascii="Century Gothic" w:hAnsi="Century Gothic" w:cs="Arial"/>
          <w:sz w:val="22"/>
          <w:szCs w:val="22"/>
          <w:lang w:eastAsia="en-US"/>
        </w:rPr>
        <w:t>De acuerdo con lo establecido en el numeral 2º del artículo 103 del EOSF, la Entidad debe informar a la UIAF, los nombres e identidades de todos los clientes exonerados del  registro de transacciones en efectivo. Esta información debe remitirse trimestralmente a la UIAF, dentro de los diez (10) días calendario del mes siguiente al del corte del periodo trimestral, mediante el diligenciamiento del formato N°3, en las condiciones indicadas en el instructivo, de la Circular Básica Jurídica N° 007 de 2008.</w:t>
      </w:r>
    </w:p>
    <w:p w14:paraId="2E722A1B">
      <w:pPr>
        <w:rPr>
          <w:rFonts w:ascii="Century Gothic" w:hAnsi="Century Gothic" w:cs="Arial"/>
          <w:sz w:val="22"/>
          <w:szCs w:val="22"/>
          <w:lang w:eastAsia="en-US"/>
        </w:rPr>
      </w:pPr>
    </w:p>
    <w:p w14:paraId="6CC60780">
      <w:pPr>
        <w:rPr>
          <w:rFonts w:ascii="Century Gothic" w:hAnsi="Century Gothic" w:cs="Arial"/>
          <w:color w:val="FF0000"/>
          <w:sz w:val="22"/>
          <w:szCs w:val="22"/>
          <w:lang w:eastAsia="en-US"/>
        </w:rPr>
      </w:pPr>
      <w:r>
        <w:rPr>
          <w:rFonts w:ascii="Century Gothic" w:hAnsi="Century Gothic" w:cs="Arial"/>
          <w:sz w:val="22"/>
          <w:szCs w:val="22"/>
          <w:lang w:eastAsia="en-US"/>
        </w:rPr>
        <w:t>Sin embargo es importante anotar que actualmente la Entidad, tiene como política no exonerar a ningún asociado del reporte de transacciones en efectivo.</w:t>
      </w:r>
    </w:p>
    <w:p w14:paraId="041AB476">
      <w:pPr>
        <w:rPr>
          <w:rFonts w:ascii="Century Gothic" w:hAnsi="Century Gothic" w:cs="Arial"/>
          <w:sz w:val="22"/>
          <w:szCs w:val="22"/>
          <w:lang w:eastAsia="en-US"/>
        </w:rPr>
      </w:pPr>
    </w:p>
    <w:p w14:paraId="0F89C932">
      <w:pPr>
        <w:rPr>
          <w:rFonts w:ascii="Century Gothic" w:hAnsi="Century Gothic" w:cs="Arial"/>
          <w:sz w:val="22"/>
          <w:szCs w:val="22"/>
          <w:lang w:eastAsia="en-US"/>
        </w:rPr>
      </w:pPr>
      <w:r>
        <w:rPr>
          <w:rFonts w:ascii="Century Gothic" w:hAnsi="Century Gothic" w:cs="Arial"/>
          <w:sz w:val="22"/>
          <w:szCs w:val="22"/>
          <w:lang w:eastAsia="en-US"/>
        </w:rPr>
        <w:t>En el evento que no  exista información que reportar, La Entidad igualmente, debe diligenciar el formato con valores en cero (0) y remitirlo a la UIAF, dentro del plazo establecido.</w:t>
      </w:r>
    </w:p>
    <w:p w14:paraId="60B1212B">
      <w:pPr>
        <w:rPr>
          <w:rFonts w:ascii="Century Gothic" w:hAnsi="Century Gothic" w:cs="Arial"/>
          <w:sz w:val="22"/>
          <w:szCs w:val="22"/>
          <w:lang w:eastAsia="en-US"/>
        </w:rPr>
      </w:pPr>
    </w:p>
    <w:p w14:paraId="1F580E7A">
      <w:pPr>
        <w:autoSpaceDE w:val="0"/>
        <w:autoSpaceDN w:val="0"/>
        <w:adjustRightInd w:val="0"/>
        <w:rPr>
          <w:rFonts w:ascii="Century Gothic" w:hAnsi="Century Gothic" w:cs="Arial"/>
          <w:b/>
          <w:bCs/>
          <w:sz w:val="22"/>
          <w:szCs w:val="22"/>
          <w:lang w:eastAsia="es-CO"/>
        </w:rPr>
      </w:pPr>
    </w:p>
    <w:p w14:paraId="6E76668F">
      <w:pPr>
        <w:pStyle w:val="65"/>
        <w:numPr>
          <w:ilvl w:val="2"/>
          <w:numId w:val="8"/>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 xml:space="preserve"> CAPACITACIÓN</w:t>
      </w:r>
    </w:p>
    <w:p w14:paraId="069537E0">
      <w:pPr>
        <w:pStyle w:val="65"/>
        <w:autoSpaceDE w:val="0"/>
        <w:autoSpaceDN w:val="0"/>
        <w:adjustRightInd w:val="0"/>
        <w:ind w:left="720"/>
        <w:rPr>
          <w:rFonts w:ascii="Century Gothic" w:hAnsi="Century Gothic" w:cs="Arial"/>
          <w:b/>
          <w:bCs/>
          <w:sz w:val="22"/>
          <w:szCs w:val="22"/>
          <w:lang w:eastAsia="es-CO"/>
        </w:rPr>
      </w:pPr>
    </w:p>
    <w:p w14:paraId="34D63CC5">
      <w:pPr>
        <w:autoSpaceDE w:val="0"/>
        <w:autoSpaceDN w:val="0"/>
        <w:adjustRightInd w:val="0"/>
        <w:spacing w:after="160" w:line="221" w:lineRule="atLeast"/>
        <w:rPr>
          <w:rFonts w:ascii="Century Gothic" w:hAnsi="Century Gothic" w:cs="ITC Franklin Gothic Std Book" w:eastAsiaTheme="minorHAnsi"/>
          <w:color w:val="000000"/>
          <w:sz w:val="22"/>
          <w:szCs w:val="22"/>
          <w:lang w:eastAsia="en-US"/>
        </w:rPr>
      </w:pPr>
      <w:r>
        <w:rPr>
          <w:rFonts w:ascii="Century Gothic" w:hAnsi="Century Gothic" w:cs="ITC Franklin Gothic Std Book" w:eastAsiaTheme="minorHAnsi"/>
          <w:color w:val="000000"/>
          <w:sz w:val="22"/>
          <w:szCs w:val="22"/>
          <w:lang w:eastAsia="en-US"/>
        </w:rPr>
        <w:t xml:space="preserve">Con el fin de generar en los empleados y/o colaboradores y directivos, una cultura organizacional orientada a la administración del riesgo de LA/FT, para prevenir y controlar que </w:t>
      </w:r>
      <w:r>
        <w:rPr>
          <w:rFonts w:ascii="Century Gothic" w:hAnsi="Century Gothic" w:cs="ITC Franklin Gothic Std Book" w:eastAsiaTheme="minorHAnsi"/>
          <w:bCs/>
          <w:color w:val="000000"/>
          <w:sz w:val="22"/>
          <w:szCs w:val="22"/>
          <w:lang w:eastAsia="en-US"/>
        </w:rPr>
        <w:t xml:space="preserve">la Entidad </w:t>
      </w:r>
      <w:r>
        <w:rPr>
          <w:rFonts w:ascii="Century Gothic" w:hAnsi="Century Gothic" w:cs="ITC Franklin Gothic Std Book" w:eastAsiaTheme="minorHAnsi"/>
          <w:color w:val="000000"/>
          <w:sz w:val="22"/>
          <w:szCs w:val="22"/>
          <w:lang w:eastAsia="en-US"/>
        </w:rPr>
        <w:t>sea utilizada para estos fines, se implementará programas de capacitación orientados al conocimiento de las políticas, normas de carácter interno y externo, y procedimientos relacionados con el SARLAFT.</w:t>
      </w:r>
    </w:p>
    <w:p w14:paraId="19E615D4">
      <w:pPr>
        <w:autoSpaceDE w:val="0"/>
        <w:autoSpaceDN w:val="0"/>
        <w:adjustRightInd w:val="0"/>
        <w:rPr>
          <w:rFonts w:ascii="Century Gothic" w:hAnsi="Century Gothic" w:cs="Arial" w:eastAsiaTheme="minorHAnsi"/>
          <w:bCs/>
          <w:sz w:val="22"/>
          <w:szCs w:val="22"/>
          <w:lang w:eastAsia="en-US"/>
        </w:rPr>
      </w:pPr>
      <w:r>
        <w:rPr>
          <w:rFonts w:ascii="Century Gothic" w:hAnsi="Century Gothic" w:cs="Arial" w:eastAsiaTheme="minorHAnsi"/>
          <w:bCs/>
          <w:sz w:val="22"/>
          <w:szCs w:val="22"/>
          <w:lang w:eastAsia="en-US"/>
        </w:rPr>
        <w:t>A través del Oficial de Cumplimiento la Entidad diseñará, programará y coordinará los planes de capacitación sobre el SARLAFT dirigidos a todas las áreas, funcionarios y directivos.</w:t>
      </w:r>
    </w:p>
    <w:p w14:paraId="2AE02BB3">
      <w:pPr>
        <w:autoSpaceDE w:val="0"/>
        <w:autoSpaceDN w:val="0"/>
        <w:adjustRightInd w:val="0"/>
        <w:rPr>
          <w:rFonts w:ascii="Century Gothic" w:hAnsi="Century Gothic" w:cs="Arial" w:eastAsiaTheme="minorHAnsi"/>
          <w:bCs/>
          <w:sz w:val="22"/>
          <w:szCs w:val="22"/>
          <w:lang w:eastAsia="en-US"/>
        </w:rPr>
      </w:pPr>
    </w:p>
    <w:p w14:paraId="74F94904">
      <w:pPr>
        <w:autoSpaceDE w:val="0"/>
        <w:autoSpaceDN w:val="0"/>
        <w:adjustRightInd w:val="0"/>
        <w:rPr>
          <w:rFonts w:ascii="Century Gothic" w:hAnsi="Century Gothic" w:cs="Arial" w:eastAsiaTheme="minorHAnsi"/>
          <w:bCs/>
          <w:sz w:val="22"/>
          <w:szCs w:val="22"/>
          <w:lang w:eastAsia="en-US"/>
        </w:rPr>
      </w:pPr>
      <w:r>
        <w:rPr>
          <w:rFonts w:ascii="Century Gothic" w:hAnsi="Century Gothic" w:cs="Arial" w:eastAsiaTheme="minorHAnsi"/>
          <w:bCs/>
          <w:sz w:val="22"/>
          <w:szCs w:val="22"/>
          <w:lang w:eastAsia="en-US"/>
        </w:rPr>
        <w:t>El Oficial de Cumplimiento debe presentar para su aprobación  al Consejo de Administración y a la Gerencia un Plan Anual de Capacitación que debe incluir los temas a tratar, a quien o quienes está dirigido y los recursos necesarios para su cumplimiento.</w:t>
      </w:r>
    </w:p>
    <w:p w14:paraId="1A731A3D">
      <w:pPr>
        <w:tabs>
          <w:tab w:val="left" w:pos="6889"/>
        </w:tabs>
        <w:autoSpaceDE w:val="0"/>
        <w:autoSpaceDN w:val="0"/>
        <w:adjustRightInd w:val="0"/>
        <w:rPr>
          <w:rFonts w:ascii="Century Gothic" w:hAnsi="Century Gothic" w:cs="Arial" w:eastAsiaTheme="minorHAnsi"/>
          <w:bCs/>
          <w:sz w:val="22"/>
          <w:szCs w:val="22"/>
          <w:lang w:eastAsia="en-US"/>
        </w:rPr>
      </w:pPr>
      <w:r>
        <w:rPr>
          <w:rFonts w:ascii="Century Gothic" w:hAnsi="Century Gothic" w:cs="Arial" w:eastAsiaTheme="minorHAnsi"/>
          <w:bCs/>
          <w:sz w:val="22"/>
          <w:szCs w:val="22"/>
          <w:lang w:eastAsia="en-US"/>
        </w:rPr>
        <w:tab/>
      </w:r>
    </w:p>
    <w:p w14:paraId="4CC24C55">
      <w:pPr>
        <w:autoSpaceDE w:val="0"/>
        <w:autoSpaceDN w:val="0"/>
        <w:adjustRightInd w:val="0"/>
        <w:rPr>
          <w:rFonts w:ascii="Century Gothic" w:hAnsi="Century Gothic" w:cs="Arial" w:eastAsiaTheme="minorHAnsi"/>
          <w:bCs/>
          <w:sz w:val="22"/>
          <w:szCs w:val="22"/>
          <w:lang w:eastAsia="en-US"/>
        </w:rPr>
      </w:pPr>
      <w:r>
        <w:rPr>
          <w:rFonts w:ascii="Century Gothic" w:hAnsi="Century Gothic" w:cs="Arial" w:eastAsiaTheme="minorHAnsi"/>
          <w:bCs/>
          <w:sz w:val="22"/>
          <w:szCs w:val="22"/>
          <w:lang w:eastAsia="en-US"/>
        </w:rPr>
        <w:t>La asistencia a las capacitaciones programadas por la Entidad es obligatoria para todos los funcionarios y directivos y deberá quedar evidencia de la misma en el respectivo formato.  La periodicidad de la capacitación será anual sin perjuicio de modificar la programación ante actualizaciones o modificaciones que se deban implementar de manera inmediata.</w:t>
      </w:r>
    </w:p>
    <w:p w14:paraId="54F73F3B">
      <w:pPr>
        <w:autoSpaceDE w:val="0"/>
        <w:autoSpaceDN w:val="0"/>
        <w:adjustRightInd w:val="0"/>
        <w:rPr>
          <w:rFonts w:ascii="Century Gothic" w:hAnsi="Century Gothic" w:cs="Arial" w:eastAsiaTheme="minorHAnsi"/>
          <w:sz w:val="22"/>
          <w:szCs w:val="22"/>
          <w:lang w:eastAsia="en-US"/>
        </w:rPr>
      </w:pPr>
    </w:p>
    <w:p w14:paraId="2C4198EB">
      <w:pPr>
        <w:autoSpaceDE w:val="0"/>
        <w:autoSpaceDN w:val="0"/>
        <w:adjustRightInd w:val="0"/>
        <w:rPr>
          <w:rFonts w:ascii="Century Gothic" w:hAnsi="Century Gothic" w:cs="Arial" w:eastAsiaTheme="minorHAnsi"/>
          <w:bCs/>
          <w:sz w:val="22"/>
          <w:szCs w:val="22"/>
          <w:highlight w:val="yellow"/>
          <w:lang w:eastAsia="en-US"/>
        </w:rPr>
      </w:pPr>
      <w:r>
        <w:rPr>
          <w:rFonts w:ascii="Century Gothic" w:hAnsi="Century Gothic" w:cs="Arial" w:eastAsiaTheme="minorHAnsi"/>
          <w:bCs/>
          <w:sz w:val="22"/>
          <w:szCs w:val="22"/>
          <w:lang w:eastAsia="en-US"/>
        </w:rPr>
        <w:t>A todos los funcionarios y directivos que ingresen a la entidad se les debe impartir capacitación en el SARLAFT, durante la etapa de inducción, de igual manera y cuando sea procedente se hará con los contratistas, se deberán diseñar e implementar mecanismos de evaluación de los resultados obtenidos con el fin de determinar la eficacia de dichos programas y el alcance de los objetivos propuestos, actividad que deberá ser liderada por el Oficial de Cumplimiento.</w:t>
      </w:r>
    </w:p>
    <w:p w14:paraId="6B944B15">
      <w:pPr>
        <w:autoSpaceDE w:val="0"/>
        <w:autoSpaceDN w:val="0"/>
        <w:adjustRightInd w:val="0"/>
        <w:rPr>
          <w:rFonts w:ascii="Century Gothic" w:hAnsi="Century Gothic" w:cs="Arial" w:eastAsiaTheme="minorHAnsi"/>
          <w:sz w:val="22"/>
          <w:szCs w:val="22"/>
          <w:lang w:eastAsia="en-US"/>
        </w:rPr>
      </w:pPr>
    </w:p>
    <w:p w14:paraId="33114B0F">
      <w:pPr>
        <w:spacing w:after="200" w:line="276" w:lineRule="auto"/>
        <w:rPr>
          <w:rFonts w:ascii="Century Gothic" w:hAnsi="Century Gothic" w:cs="ITC Franklin Gothic Std Book" w:eastAsiaTheme="minorHAnsi"/>
          <w:color w:val="000000"/>
          <w:sz w:val="22"/>
          <w:szCs w:val="22"/>
          <w:lang w:eastAsia="en-US"/>
        </w:rPr>
      </w:pPr>
    </w:p>
    <w:p w14:paraId="0A19AE80">
      <w:pPr>
        <w:autoSpaceDE w:val="0"/>
        <w:autoSpaceDN w:val="0"/>
        <w:adjustRightInd w:val="0"/>
        <w:rPr>
          <w:rFonts w:ascii="Century Gothic" w:hAnsi="Century Gothic" w:cs="Arial"/>
          <w:sz w:val="22"/>
          <w:szCs w:val="22"/>
          <w:lang w:eastAsia="es-CO"/>
        </w:rPr>
      </w:pPr>
    </w:p>
    <w:p w14:paraId="164815BB">
      <w:pPr>
        <w:autoSpaceDE w:val="0"/>
        <w:autoSpaceDN w:val="0"/>
        <w:adjustRightInd w:val="0"/>
        <w:rPr>
          <w:rFonts w:ascii="Century Gothic" w:hAnsi="Century Gothic" w:cs="Arial"/>
          <w:sz w:val="22"/>
          <w:szCs w:val="22"/>
          <w:lang w:eastAsia="es-CO"/>
        </w:rPr>
      </w:pPr>
    </w:p>
    <w:p w14:paraId="6676675F">
      <w:pPr>
        <w:autoSpaceDE w:val="0"/>
        <w:autoSpaceDN w:val="0"/>
        <w:adjustRightInd w:val="0"/>
        <w:rPr>
          <w:rFonts w:ascii="Century Gothic" w:hAnsi="Century Gothic" w:cs="Arial"/>
          <w:sz w:val="22"/>
          <w:szCs w:val="22"/>
          <w:lang w:eastAsia="es-CO"/>
        </w:rPr>
      </w:pPr>
    </w:p>
    <w:p w14:paraId="67688971">
      <w:pPr>
        <w:autoSpaceDE w:val="0"/>
        <w:autoSpaceDN w:val="0"/>
        <w:adjustRightInd w:val="0"/>
        <w:rPr>
          <w:rFonts w:ascii="Century Gothic" w:hAnsi="Century Gothic" w:cs="Arial"/>
          <w:sz w:val="22"/>
          <w:szCs w:val="22"/>
          <w:lang w:eastAsia="es-CO"/>
        </w:rPr>
      </w:pPr>
    </w:p>
    <w:p w14:paraId="306D9D67">
      <w:pPr>
        <w:autoSpaceDE w:val="0"/>
        <w:autoSpaceDN w:val="0"/>
        <w:adjustRightInd w:val="0"/>
        <w:rPr>
          <w:rFonts w:ascii="Century Gothic" w:hAnsi="Century Gothic" w:cs="Arial"/>
          <w:sz w:val="22"/>
          <w:szCs w:val="22"/>
          <w:lang w:eastAsia="es-CO"/>
        </w:rPr>
      </w:pPr>
    </w:p>
    <w:p w14:paraId="783C3ABA">
      <w:pPr>
        <w:autoSpaceDE w:val="0"/>
        <w:autoSpaceDN w:val="0"/>
        <w:adjustRightInd w:val="0"/>
        <w:rPr>
          <w:rFonts w:ascii="Century Gothic" w:hAnsi="Century Gothic" w:cs="Arial"/>
          <w:sz w:val="22"/>
          <w:szCs w:val="22"/>
          <w:lang w:eastAsia="es-CO"/>
        </w:rPr>
      </w:pPr>
    </w:p>
    <w:p w14:paraId="39A5E842">
      <w:pPr>
        <w:autoSpaceDE w:val="0"/>
        <w:autoSpaceDN w:val="0"/>
        <w:adjustRightInd w:val="0"/>
        <w:rPr>
          <w:rFonts w:ascii="Century Gothic" w:hAnsi="Century Gothic" w:cs="Arial"/>
          <w:sz w:val="22"/>
          <w:szCs w:val="22"/>
          <w:lang w:eastAsia="es-CO"/>
        </w:rPr>
      </w:pPr>
    </w:p>
    <w:p w14:paraId="6D85655B">
      <w:pPr>
        <w:autoSpaceDE w:val="0"/>
        <w:autoSpaceDN w:val="0"/>
        <w:adjustRightInd w:val="0"/>
        <w:rPr>
          <w:rFonts w:ascii="Century Gothic" w:hAnsi="Century Gothic" w:cs="Arial"/>
          <w:sz w:val="22"/>
          <w:szCs w:val="22"/>
          <w:lang w:eastAsia="es-CO"/>
        </w:rPr>
      </w:pPr>
    </w:p>
    <w:p w14:paraId="2CCBFB07">
      <w:pPr>
        <w:autoSpaceDE w:val="0"/>
        <w:autoSpaceDN w:val="0"/>
        <w:adjustRightInd w:val="0"/>
        <w:rPr>
          <w:rFonts w:ascii="Century Gothic" w:hAnsi="Century Gothic" w:cs="Arial"/>
          <w:sz w:val="22"/>
          <w:szCs w:val="22"/>
          <w:lang w:eastAsia="es-CO"/>
        </w:rPr>
      </w:pPr>
    </w:p>
    <w:p w14:paraId="0E4A0760">
      <w:pPr>
        <w:autoSpaceDE w:val="0"/>
        <w:autoSpaceDN w:val="0"/>
        <w:adjustRightInd w:val="0"/>
        <w:rPr>
          <w:rFonts w:ascii="Century Gothic" w:hAnsi="Century Gothic" w:cs="Arial"/>
          <w:sz w:val="22"/>
          <w:szCs w:val="22"/>
          <w:lang w:eastAsia="es-CO"/>
        </w:rPr>
      </w:pPr>
    </w:p>
    <w:p w14:paraId="4909B6B4">
      <w:pPr>
        <w:autoSpaceDE w:val="0"/>
        <w:autoSpaceDN w:val="0"/>
        <w:adjustRightInd w:val="0"/>
        <w:rPr>
          <w:rFonts w:ascii="Century Gothic" w:hAnsi="Century Gothic" w:cs="Arial"/>
          <w:sz w:val="22"/>
          <w:szCs w:val="22"/>
          <w:lang w:eastAsia="es-CO"/>
        </w:rPr>
      </w:pPr>
    </w:p>
    <w:p w14:paraId="14B30683">
      <w:pPr>
        <w:autoSpaceDE w:val="0"/>
        <w:autoSpaceDN w:val="0"/>
        <w:adjustRightInd w:val="0"/>
        <w:rPr>
          <w:rFonts w:ascii="Century Gothic" w:hAnsi="Century Gothic" w:cs="Arial"/>
          <w:sz w:val="22"/>
          <w:szCs w:val="22"/>
          <w:lang w:eastAsia="es-CO"/>
        </w:rPr>
      </w:pPr>
    </w:p>
    <w:p w14:paraId="330D9161">
      <w:pPr>
        <w:autoSpaceDE w:val="0"/>
        <w:autoSpaceDN w:val="0"/>
        <w:adjustRightInd w:val="0"/>
        <w:rPr>
          <w:rFonts w:ascii="Century Gothic" w:hAnsi="Century Gothic" w:cs="Arial"/>
          <w:sz w:val="22"/>
          <w:szCs w:val="22"/>
          <w:lang w:eastAsia="es-CO"/>
        </w:rPr>
      </w:pPr>
    </w:p>
    <w:p w14:paraId="2A8EFC26">
      <w:pPr>
        <w:autoSpaceDE w:val="0"/>
        <w:autoSpaceDN w:val="0"/>
        <w:adjustRightInd w:val="0"/>
        <w:rPr>
          <w:rFonts w:ascii="Century Gothic" w:hAnsi="Century Gothic" w:cs="Arial"/>
          <w:sz w:val="22"/>
          <w:szCs w:val="22"/>
          <w:lang w:eastAsia="es-CO"/>
        </w:rPr>
      </w:pPr>
    </w:p>
    <w:p w14:paraId="286A0739">
      <w:pPr>
        <w:autoSpaceDE w:val="0"/>
        <w:autoSpaceDN w:val="0"/>
        <w:adjustRightInd w:val="0"/>
        <w:rPr>
          <w:rFonts w:ascii="Century Gothic" w:hAnsi="Century Gothic" w:cs="Arial"/>
          <w:sz w:val="22"/>
          <w:szCs w:val="22"/>
          <w:lang w:eastAsia="es-CO"/>
        </w:rPr>
      </w:pPr>
    </w:p>
    <w:p w14:paraId="06A3DAB8">
      <w:pPr>
        <w:autoSpaceDE w:val="0"/>
        <w:autoSpaceDN w:val="0"/>
        <w:adjustRightInd w:val="0"/>
        <w:rPr>
          <w:rFonts w:ascii="Century Gothic" w:hAnsi="Century Gothic" w:cs="Arial"/>
          <w:sz w:val="22"/>
          <w:szCs w:val="22"/>
          <w:lang w:eastAsia="es-CO"/>
        </w:rPr>
      </w:pPr>
    </w:p>
    <w:p w14:paraId="72CB87C1">
      <w:pPr>
        <w:pStyle w:val="65"/>
        <w:numPr>
          <w:ilvl w:val="0"/>
          <w:numId w:val="8"/>
        </w:numPr>
        <w:autoSpaceDE w:val="0"/>
        <w:autoSpaceDN w:val="0"/>
        <w:adjustRightInd w:val="0"/>
        <w:jc w:val="center"/>
        <w:rPr>
          <w:rFonts w:ascii="Century Gothic" w:hAnsi="Century Gothic" w:cs="Arial"/>
          <w:b/>
          <w:sz w:val="22"/>
          <w:szCs w:val="22"/>
          <w:lang w:eastAsia="es-CO"/>
        </w:rPr>
      </w:pPr>
      <w:r>
        <w:rPr>
          <w:rFonts w:ascii="Century Gothic" w:hAnsi="Century Gothic" w:cs="Arial"/>
          <w:b/>
          <w:sz w:val="22"/>
          <w:szCs w:val="22"/>
          <w:lang w:eastAsia="es-CO"/>
        </w:rPr>
        <w:t>TIPOLOGÍAS DE RIESGOS QUE PUEDEN PRESENTARSE EN LA ENTIDAD</w:t>
      </w:r>
    </w:p>
    <w:p w14:paraId="48A476FD">
      <w:pPr>
        <w:autoSpaceDE w:val="0"/>
        <w:autoSpaceDN w:val="0"/>
        <w:adjustRightInd w:val="0"/>
        <w:jc w:val="center"/>
        <w:rPr>
          <w:rFonts w:ascii="Century Gothic" w:hAnsi="Century Gothic" w:cs="Arial"/>
          <w:b/>
          <w:sz w:val="22"/>
          <w:szCs w:val="22"/>
          <w:lang w:eastAsia="es-CO"/>
        </w:rPr>
      </w:pPr>
    </w:p>
    <w:p w14:paraId="329BD316">
      <w:p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A continuación se enuncian las posibles tipologías de riesgos asociadas al LA/FT que pueden presentarse en la Entidad y las salvaguardas y/o controles que ésta implementará para prevenirlas. Estas tipologías pueden variar, dependiendo la evolución del negocio.</w:t>
      </w:r>
    </w:p>
    <w:p w14:paraId="7FA02E05">
      <w:pPr>
        <w:autoSpaceDE w:val="0"/>
        <w:autoSpaceDN w:val="0"/>
        <w:adjustRightInd w:val="0"/>
        <w:rPr>
          <w:rFonts w:ascii="Century Gothic" w:hAnsi="Century Gothic" w:cs="Arial"/>
          <w:sz w:val="22"/>
          <w:szCs w:val="22"/>
          <w:lang w:eastAsia="es-CO"/>
        </w:rPr>
      </w:pPr>
    </w:p>
    <w:tbl>
      <w:tblPr>
        <w:tblStyle w:val="112"/>
        <w:tblW w:w="8930" w:type="dxa"/>
        <w:tblInd w:w="0" w:type="dxa"/>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Layout w:type="autofit"/>
        <w:tblCellMar>
          <w:top w:w="0" w:type="dxa"/>
          <w:left w:w="108" w:type="dxa"/>
          <w:bottom w:w="0" w:type="dxa"/>
          <w:right w:w="108" w:type="dxa"/>
        </w:tblCellMar>
      </w:tblPr>
      <w:tblGrid>
        <w:gridCol w:w="1985"/>
        <w:gridCol w:w="6945"/>
      </w:tblGrid>
      <w:tr w14:paraId="26CF596C">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435" w:hRule="atLeast"/>
        </w:trPr>
        <w:tc>
          <w:tcPr>
            <w:tcW w:w="1985" w:type="dxa"/>
            <w:tcBorders>
              <w:top w:val="single" w:color="ED7D31" w:themeColor="accent2" w:sz="4" w:space="0"/>
              <w:left w:val="single" w:color="ED7D31" w:themeColor="accent2" w:sz="4" w:space="0"/>
              <w:bottom w:val="single" w:color="ED7D31" w:themeColor="accent2" w:sz="4" w:space="0"/>
              <w:right w:val="nil"/>
              <w:insideH w:val="single" w:sz="4" w:space="0"/>
              <w:insideV w:val="nil"/>
            </w:tcBorders>
            <w:shd w:val="clear" w:color="auto" w:fill="F4B083" w:themeFill="accent2" w:themeFillTint="99"/>
          </w:tcPr>
          <w:p w14:paraId="211B0228">
            <w:pPr>
              <w:jc w:val="center"/>
              <w:rPr>
                <w:rFonts w:ascii="Calibri" w:hAnsi="Calibri"/>
                <w:b/>
                <w:bCs/>
                <w:color w:val="auto"/>
                <w:sz w:val="22"/>
                <w:szCs w:val="22"/>
                <w:lang w:eastAsia="es-CO"/>
              </w:rPr>
            </w:pPr>
            <w:r>
              <w:rPr>
                <w:rFonts w:ascii="Calibri" w:hAnsi="Calibri"/>
                <w:b/>
                <w:bCs/>
                <w:color w:val="auto"/>
                <w:sz w:val="22"/>
                <w:szCs w:val="22"/>
                <w:lang w:eastAsia="es-CO"/>
              </w:rPr>
              <w:t>DESCRIPCIÓN RIESGO</w:t>
            </w:r>
          </w:p>
        </w:tc>
        <w:tc>
          <w:tcPr>
            <w:tcW w:w="6945" w:type="dxa"/>
            <w:tcBorders>
              <w:top w:val="single" w:color="ED7D31" w:themeColor="accent2" w:sz="4" w:space="0"/>
              <w:bottom w:val="single" w:color="ED7D31" w:themeColor="accent2" w:sz="4" w:space="0"/>
              <w:right w:val="single" w:color="ED7D31" w:themeColor="accent2" w:sz="4" w:space="0"/>
              <w:insideH w:val="single" w:sz="4" w:space="0"/>
              <w:insideV w:val="nil"/>
            </w:tcBorders>
            <w:shd w:val="clear" w:color="auto" w:fill="F4B083" w:themeFill="accent2" w:themeFillTint="99"/>
          </w:tcPr>
          <w:p w14:paraId="242E7F1E">
            <w:pPr>
              <w:jc w:val="center"/>
              <w:rPr>
                <w:rFonts w:ascii="Calibri" w:hAnsi="Calibri"/>
                <w:b/>
                <w:bCs/>
                <w:color w:val="auto"/>
                <w:sz w:val="22"/>
                <w:szCs w:val="22"/>
                <w:lang w:eastAsia="es-CO"/>
              </w:rPr>
            </w:pPr>
            <w:r>
              <w:rPr>
                <w:rFonts w:ascii="Calibri" w:hAnsi="Calibri"/>
                <w:b/>
                <w:bCs w:val="0"/>
                <w:color w:val="auto"/>
                <w:sz w:val="22"/>
                <w:szCs w:val="22"/>
                <w:lang w:eastAsia="es-CO"/>
              </w:rPr>
              <w:t xml:space="preserve">SALVAGUARDAS Y/O </w:t>
            </w:r>
            <w:r>
              <w:rPr>
                <w:rFonts w:ascii="Calibri" w:hAnsi="Calibri"/>
                <w:b/>
                <w:bCs/>
                <w:color w:val="auto"/>
                <w:sz w:val="22"/>
                <w:szCs w:val="22"/>
                <w:lang w:eastAsia="es-CO"/>
              </w:rPr>
              <w:t>CONTROLES</w:t>
            </w:r>
          </w:p>
        </w:tc>
      </w:tr>
      <w:tr w14:paraId="2325D180">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600" w:hRule="atLeast"/>
        </w:trPr>
        <w:tc>
          <w:tcPr>
            <w:tcW w:w="1985" w:type="dxa"/>
            <w:vMerge w:val="restart"/>
            <w:shd w:val="clear" w:color="auto" w:fill="auto"/>
          </w:tcPr>
          <w:p w14:paraId="2CCC2890">
            <w:pPr>
              <w:rPr>
                <w:rFonts w:ascii="Calibri" w:hAnsi="Calibri"/>
                <w:b/>
                <w:bCs/>
                <w:color w:val="000000"/>
                <w:sz w:val="18"/>
                <w:szCs w:val="18"/>
                <w:lang w:eastAsia="es-CO"/>
              </w:rPr>
            </w:pPr>
          </w:p>
          <w:p w14:paraId="7BA64E8F">
            <w:pPr>
              <w:rPr>
                <w:rFonts w:ascii="Calibri" w:hAnsi="Calibri"/>
                <w:b w:val="0"/>
                <w:bCs/>
                <w:color w:val="000000"/>
                <w:sz w:val="18"/>
                <w:szCs w:val="18"/>
                <w:lang w:eastAsia="es-CO"/>
              </w:rPr>
            </w:pPr>
            <w:r>
              <w:rPr>
                <w:rFonts w:ascii="Calibri" w:hAnsi="Calibri"/>
                <w:b/>
                <w:bCs/>
                <w:color w:val="C00000"/>
                <w:sz w:val="18"/>
                <w:szCs w:val="18"/>
                <w:u w:val="single"/>
                <w:lang w:eastAsia="es-CO"/>
              </w:rPr>
              <w:t>RIESGO 01:</w:t>
            </w:r>
            <w:r>
              <w:rPr>
                <w:rFonts w:ascii="Calibri" w:hAnsi="Calibri"/>
                <w:b w:val="0"/>
                <w:bCs/>
                <w:color w:val="C00000"/>
                <w:sz w:val="18"/>
                <w:szCs w:val="18"/>
                <w:lang w:eastAsia="es-CO"/>
              </w:rPr>
              <w:t xml:space="preserve"> </w:t>
            </w:r>
            <w:r>
              <w:rPr>
                <w:rFonts w:ascii="Calibri" w:hAnsi="Calibri"/>
                <w:b w:val="0"/>
                <w:bCs/>
                <w:color w:val="000000"/>
                <w:sz w:val="18"/>
                <w:szCs w:val="18"/>
                <w:lang w:eastAsia="es-CO"/>
              </w:rPr>
              <w:t>Vincular y permitir relaciones contractuales con asociados, empleados y terceros relacionados vinculados a actividades  de Lavado de Activos y Financiación del Terrorismo LA/FT</w:t>
            </w:r>
          </w:p>
        </w:tc>
        <w:tc>
          <w:tcPr>
            <w:tcW w:w="6945" w:type="dxa"/>
            <w:shd w:val="clear" w:color="auto" w:fill="auto"/>
          </w:tcPr>
          <w:p w14:paraId="3620CB58">
            <w:pPr>
              <w:contextualSpacing/>
              <w:rPr>
                <w:rFonts w:ascii="Calibri" w:hAnsi="Calibri"/>
                <w:color w:val="000000"/>
                <w:sz w:val="18"/>
                <w:szCs w:val="18"/>
                <w:lang w:eastAsia="es-CO"/>
              </w:rPr>
            </w:pPr>
            <w:r>
              <w:rPr>
                <w:rFonts w:ascii="Calibri" w:hAnsi="Calibri"/>
                <w:color w:val="000000"/>
                <w:sz w:val="18"/>
                <w:szCs w:val="18"/>
                <w:lang w:eastAsia="es-CO"/>
              </w:rPr>
              <w:t>Definición clara de requisitos y procedimientos de vinculación de asociados, empleados,  relacionados contractuales.</w:t>
            </w:r>
          </w:p>
        </w:tc>
      </w:tr>
      <w:tr w14:paraId="3FFD373D">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283" w:hRule="atLeast"/>
        </w:trPr>
        <w:tc>
          <w:tcPr>
            <w:tcW w:w="1985" w:type="dxa"/>
            <w:vMerge w:val="continue"/>
            <w:shd w:val="clear" w:color="auto" w:fill="auto"/>
          </w:tcPr>
          <w:p w14:paraId="7CE2EFDE">
            <w:pPr>
              <w:rPr>
                <w:rFonts w:ascii="Calibri" w:hAnsi="Calibri"/>
                <w:b w:val="0"/>
                <w:bCs/>
                <w:color w:val="000000"/>
                <w:sz w:val="18"/>
                <w:szCs w:val="18"/>
                <w:lang w:eastAsia="es-CO"/>
              </w:rPr>
            </w:pPr>
          </w:p>
        </w:tc>
        <w:tc>
          <w:tcPr>
            <w:tcW w:w="6945" w:type="dxa"/>
            <w:shd w:val="clear" w:color="auto" w:fill="auto"/>
          </w:tcPr>
          <w:p w14:paraId="291905B8">
            <w:pPr>
              <w:contextualSpacing/>
              <w:rPr>
                <w:rFonts w:ascii="Calibri" w:hAnsi="Calibri"/>
                <w:color w:val="000000"/>
                <w:sz w:val="18"/>
                <w:szCs w:val="18"/>
                <w:lang w:eastAsia="es-CO"/>
              </w:rPr>
            </w:pPr>
            <w:r>
              <w:rPr>
                <w:rFonts w:ascii="Calibri" w:hAnsi="Calibri"/>
                <w:color w:val="000000"/>
                <w:sz w:val="18"/>
                <w:szCs w:val="18"/>
                <w:lang w:eastAsia="es-CO"/>
              </w:rPr>
              <w:t>Divulgación  de requisitos y procedimientos  de vinculación, con el personal responsable de cada proceso.</w:t>
            </w:r>
          </w:p>
        </w:tc>
      </w:tr>
      <w:tr w14:paraId="5DEA36A7">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813" w:hRule="atLeast"/>
        </w:trPr>
        <w:tc>
          <w:tcPr>
            <w:tcW w:w="1985" w:type="dxa"/>
            <w:vMerge w:val="continue"/>
            <w:shd w:val="clear" w:color="auto" w:fill="auto"/>
          </w:tcPr>
          <w:p w14:paraId="703CFF5E">
            <w:pPr>
              <w:rPr>
                <w:rFonts w:ascii="Calibri" w:hAnsi="Calibri"/>
                <w:b w:val="0"/>
                <w:bCs/>
                <w:color w:val="000000"/>
                <w:sz w:val="18"/>
                <w:szCs w:val="18"/>
                <w:lang w:eastAsia="es-CO"/>
              </w:rPr>
            </w:pPr>
          </w:p>
        </w:tc>
        <w:tc>
          <w:tcPr>
            <w:tcW w:w="6945" w:type="dxa"/>
            <w:shd w:val="clear" w:color="auto" w:fill="auto"/>
          </w:tcPr>
          <w:p w14:paraId="6F1D9BAD">
            <w:pPr>
              <w:contextualSpacing/>
              <w:rPr>
                <w:rFonts w:ascii="Calibri" w:hAnsi="Calibri"/>
                <w:color w:val="000000"/>
                <w:sz w:val="18"/>
                <w:szCs w:val="18"/>
                <w:lang w:eastAsia="es-CO"/>
              </w:rPr>
            </w:pPr>
            <w:r>
              <w:rPr>
                <w:rFonts w:ascii="Calibri" w:hAnsi="Calibri"/>
                <w:color w:val="000000"/>
                <w:sz w:val="18"/>
                <w:szCs w:val="18"/>
                <w:lang w:eastAsia="es-CO"/>
              </w:rPr>
              <w:t>Consulta en listas restrictivas previo a la vinculación de nuevos asociados, empleados,  relacionados contractuales, ya sean personas naturales o jurídicas, a fin de detectar si se encuentran reportados o no en dichas listas.</w:t>
            </w:r>
          </w:p>
        </w:tc>
      </w:tr>
      <w:tr w14:paraId="46316B4C">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336" w:hRule="atLeast"/>
        </w:trPr>
        <w:tc>
          <w:tcPr>
            <w:tcW w:w="1985" w:type="dxa"/>
            <w:vMerge w:val="continue"/>
            <w:shd w:val="clear" w:color="auto" w:fill="auto"/>
          </w:tcPr>
          <w:p w14:paraId="7D3F99C7">
            <w:pPr>
              <w:rPr>
                <w:rFonts w:ascii="Calibri" w:hAnsi="Calibri"/>
                <w:b w:val="0"/>
                <w:bCs/>
                <w:color w:val="000000"/>
                <w:sz w:val="18"/>
                <w:szCs w:val="18"/>
                <w:lang w:eastAsia="es-CO"/>
              </w:rPr>
            </w:pPr>
          </w:p>
        </w:tc>
        <w:tc>
          <w:tcPr>
            <w:tcW w:w="6945" w:type="dxa"/>
            <w:shd w:val="clear" w:color="auto" w:fill="auto"/>
          </w:tcPr>
          <w:p w14:paraId="0BFB63D4">
            <w:pPr>
              <w:contextualSpacing/>
              <w:rPr>
                <w:rFonts w:ascii="Calibri" w:hAnsi="Calibri"/>
                <w:color w:val="000000"/>
                <w:sz w:val="18"/>
                <w:szCs w:val="18"/>
                <w:lang w:eastAsia="es-CO"/>
              </w:rPr>
            </w:pPr>
            <w:r>
              <w:rPr>
                <w:rFonts w:ascii="Calibri" w:hAnsi="Calibri"/>
                <w:color w:val="000000"/>
                <w:sz w:val="18"/>
                <w:szCs w:val="18"/>
                <w:lang w:eastAsia="es-CO"/>
              </w:rPr>
              <w:t>Revisión y verificación de la información y documentación suministrada por asociados, empleados, relacionados contractuales a vincular a la Entidad.</w:t>
            </w:r>
          </w:p>
        </w:tc>
      </w:tr>
      <w:tr w14:paraId="68674DC7">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364" w:hRule="atLeast"/>
        </w:trPr>
        <w:tc>
          <w:tcPr>
            <w:tcW w:w="1985" w:type="dxa"/>
            <w:vMerge w:val="restart"/>
            <w:shd w:val="clear" w:color="auto" w:fill="auto"/>
          </w:tcPr>
          <w:p w14:paraId="4AA30EA2">
            <w:pPr>
              <w:rPr>
                <w:rFonts w:ascii="Calibri" w:hAnsi="Calibri"/>
                <w:b/>
                <w:bCs/>
                <w:color w:val="000000"/>
                <w:sz w:val="18"/>
                <w:szCs w:val="18"/>
                <w:lang w:eastAsia="es-CO"/>
              </w:rPr>
            </w:pPr>
          </w:p>
          <w:p w14:paraId="6C7549B8">
            <w:pPr>
              <w:rPr>
                <w:rFonts w:ascii="Calibri" w:hAnsi="Calibri"/>
                <w:b/>
                <w:bCs/>
                <w:color w:val="000000"/>
                <w:sz w:val="18"/>
                <w:szCs w:val="18"/>
                <w:lang w:eastAsia="es-CO"/>
              </w:rPr>
            </w:pPr>
          </w:p>
          <w:p w14:paraId="6A9A151F">
            <w:pPr>
              <w:rPr>
                <w:rFonts w:ascii="Calibri" w:hAnsi="Calibri"/>
                <w:b/>
                <w:bCs/>
                <w:color w:val="C00000"/>
                <w:sz w:val="18"/>
                <w:szCs w:val="18"/>
                <w:lang w:eastAsia="es-CO"/>
              </w:rPr>
            </w:pPr>
          </w:p>
          <w:p w14:paraId="70EE0DAF">
            <w:pPr>
              <w:rPr>
                <w:rFonts w:ascii="Calibri" w:hAnsi="Calibri"/>
                <w:b w:val="0"/>
                <w:bCs/>
                <w:color w:val="000000"/>
                <w:sz w:val="18"/>
                <w:szCs w:val="18"/>
                <w:lang w:eastAsia="es-CO"/>
              </w:rPr>
            </w:pPr>
            <w:r>
              <w:rPr>
                <w:rFonts w:ascii="Calibri" w:hAnsi="Calibri"/>
                <w:b/>
                <w:bCs/>
                <w:color w:val="C00000"/>
                <w:sz w:val="18"/>
                <w:szCs w:val="18"/>
                <w:lang w:eastAsia="es-CO"/>
              </w:rPr>
              <w:t xml:space="preserve">RIESGO 02: </w:t>
            </w:r>
            <w:r>
              <w:rPr>
                <w:rFonts w:ascii="Calibri" w:hAnsi="Calibri"/>
                <w:b w:val="0"/>
                <w:bCs/>
                <w:color w:val="000000"/>
                <w:sz w:val="18"/>
                <w:szCs w:val="18"/>
                <w:lang w:eastAsia="es-CO"/>
              </w:rPr>
              <w:t>La Entidad sea utilizada para que se realicen transacciones de LA o FT.</w:t>
            </w:r>
          </w:p>
        </w:tc>
        <w:tc>
          <w:tcPr>
            <w:tcW w:w="6945" w:type="dxa"/>
            <w:shd w:val="clear" w:color="auto" w:fill="auto"/>
          </w:tcPr>
          <w:p w14:paraId="778FF2EC">
            <w:pPr>
              <w:contextualSpacing/>
              <w:rPr>
                <w:rFonts w:ascii="Calibri" w:hAnsi="Calibri"/>
                <w:color w:val="000000"/>
                <w:sz w:val="18"/>
                <w:szCs w:val="18"/>
                <w:lang w:eastAsia="es-CO"/>
              </w:rPr>
            </w:pPr>
            <w:r>
              <w:rPr>
                <w:rFonts w:ascii="Calibri" w:hAnsi="Calibri"/>
                <w:color w:val="000000"/>
                <w:sz w:val="18"/>
                <w:szCs w:val="18"/>
                <w:lang w:eastAsia="es-CO"/>
              </w:rPr>
              <w:t>Divulgación de señales de alerta y procedimientos para identificar operaciones inusuales y/o sospechosas</w:t>
            </w:r>
          </w:p>
        </w:tc>
      </w:tr>
      <w:tr w14:paraId="0ABBFCFF">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600" w:hRule="atLeast"/>
        </w:trPr>
        <w:tc>
          <w:tcPr>
            <w:tcW w:w="1985" w:type="dxa"/>
            <w:vMerge w:val="continue"/>
            <w:shd w:val="clear" w:color="auto" w:fill="auto"/>
          </w:tcPr>
          <w:p w14:paraId="5E1FC9D8">
            <w:pPr>
              <w:rPr>
                <w:rFonts w:ascii="Calibri" w:hAnsi="Calibri"/>
                <w:b w:val="0"/>
                <w:bCs/>
                <w:color w:val="000000"/>
                <w:sz w:val="18"/>
                <w:szCs w:val="18"/>
                <w:lang w:eastAsia="es-CO"/>
              </w:rPr>
            </w:pPr>
          </w:p>
        </w:tc>
        <w:tc>
          <w:tcPr>
            <w:tcW w:w="6945" w:type="dxa"/>
            <w:shd w:val="clear" w:color="auto" w:fill="auto"/>
          </w:tcPr>
          <w:p w14:paraId="584F1C5E">
            <w:pPr>
              <w:contextualSpacing/>
              <w:rPr>
                <w:rFonts w:ascii="Calibri" w:hAnsi="Calibri"/>
                <w:color w:val="000000"/>
                <w:sz w:val="18"/>
                <w:szCs w:val="18"/>
                <w:lang w:eastAsia="es-CO"/>
              </w:rPr>
            </w:pPr>
          </w:p>
          <w:p w14:paraId="048F5BA8">
            <w:pPr>
              <w:contextualSpacing/>
              <w:rPr>
                <w:rFonts w:ascii="Calibri" w:hAnsi="Calibri"/>
                <w:color w:val="000000"/>
                <w:sz w:val="18"/>
                <w:szCs w:val="18"/>
                <w:lang w:eastAsia="es-CO"/>
              </w:rPr>
            </w:pPr>
            <w:r>
              <w:rPr>
                <w:rFonts w:ascii="Calibri" w:hAnsi="Calibri"/>
                <w:color w:val="000000"/>
                <w:sz w:val="18"/>
                <w:szCs w:val="18"/>
                <w:lang w:eastAsia="es-CO"/>
              </w:rPr>
              <w:t>Diligenciamiento formato Reporte  de Operaciones Inusuales y/o sospechosas</w:t>
            </w:r>
          </w:p>
        </w:tc>
      </w:tr>
      <w:tr w14:paraId="30C4DDA3">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505" w:hRule="atLeast"/>
        </w:trPr>
        <w:tc>
          <w:tcPr>
            <w:tcW w:w="1985" w:type="dxa"/>
            <w:vMerge w:val="continue"/>
            <w:shd w:val="clear" w:color="auto" w:fill="auto"/>
          </w:tcPr>
          <w:p w14:paraId="68E5889E">
            <w:pPr>
              <w:rPr>
                <w:rFonts w:ascii="Calibri" w:hAnsi="Calibri"/>
                <w:b w:val="0"/>
                <w:bCs/>
                <w:color w:val="000000"/>
                <w:sz w:val="18"/>
                <w:szCs w:val="18"/>
                <w:lang w:eastAsia="es-CO"/>
              </w:rPr>
            </w:pPr>
          </w:p>
        </w:tc>
        <w:tc>
          <w:tcPr>
            <w:tcW w:w="6945" w:type="dxa"/>
            <w:shd w:val="clear" w:color="auto" w:fill="auto"/>
          </w:tcPr>
          <w:p w14:paraId="48B70843">
            <w:pPr>
              <w:contextualSpacing/>
              <w:rPr>
                <w:rFonts w:ascii="Calibri" w:hAnsi="Calibri"/>
                <w:color w:val="000000"/>
                <w:sz w:val="18"/>
                <w:szCs w:val="18"/>
                <w:lang w:eastAsia="es-CO"/>
              </w:rPr>
            </w:pPr>
            <w:r>
              <w:rPr>
                <w:rFonts w:ascii="Calibri" w:hAnsi="Calibri"/>
                <w:color w:val="000000"/>
                <w:sz w:val="18"/>
                <w:szCs w:val="18"/>
                <w:lang w:eastAsia="es-CO"/>
              </w:rPr>
              <w:t>Aplicación de procedimientos, políticas y controles establecidos por la entidad en el manejo de los productos y/o servicios, en la detección de operaciones inusuales y/o sospechosas</w:t>
            </w:r>
          </w:p>
        </w:tc>
      </w:tr>
      <w:tr w14:paraId="7BE827BD">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542" w:hRule="atLeast"/>
        </w:trPr>
        <w:tc>
          <w:tcPr>
            <w:tcW w:w="1985" w:type="dxa"/>
            <w:vMerge w:val="continue"/>
            <w:shd w:val="clear" w:color="auto" w:fill="auto"/>
          </w:tcPr>
          <w:p w14:paraId="0B779441">
            <w:pPr>
              <w:rPr>
                <w:rFonts w:ascii="Calibri" w:hAnsi="Calibri"/>
                <w:b w:val="0"/>
                <w:bCs/>
                <w:color w:val="000000"/>
                <w:sz w:val="18"/>
                <w:szCs w:val="18"/>
                <w:lang w:eastAsia="es-CO"/>
              </w:rPr>
            </w:pPr>
          </w:p>
        </w:tc>
        <w:tc>
          <w:tcPr>
            <w:tcW w:w="6945" w:type="dxa"/>
            <w:shd w:val="clear" w:color="auto" w:fill="auto"/>
          </w:tcPr>
          <w:p w14:paraId="057F3385">
            <w:pPr>
              <w:contextualSpacing/>
              <w:rPr>
                <w:rFonts w:ascii="Calibri" w:hAnsi="Calibri"/>
                <w:color w:val="000000"/>
                <w:sz w:val="18"/>
                <w:szCs w:val="18"/>
                <w:lang w:eastAsia="es-CO"/>
              </w:rPr>
            </w:pPr>
            <w:r>
              <w:rPr>
                <w:rFonts w:ascii="Calibri" w:hAnsi="Calibri"/>
                <w:color w:val="000000"/>
                <w:sz w:val="18"/>
                <w:szCs w:val="18"/>
                <w:lang w:eastAsia="es-CO"/>
              </w:rPr>
              <w:t>Contar con elementos de juicio y soportes  documentales que permitan analizar las transacciones inusuales y determinar la existencia de operaciones sospechosas.</w:t>
            </w:r>
          </w:p>
        </w:tc>
      </w:tr>
      <w:tr w14:paraId="16B93CBB">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471" w:hRule="atLeast"/>
        </w:trPr>
        <w:tc>
          <w:tcPr>
            <w:tcW w:w="1985" w:type="dxa"/>
            <w:vMerge w:val="restart"/>
            <w:shd w:val="clear" w:color="auto" w:fill="auto"/>
          </w:tcPr>
          <w:p w14:paraId="62D66C3D">
            <w:pPr>
              <w:rPr>
                <w:rFonts w:ascii="Calibri" w:hAnsi="Calibri"/>
                <w:b/>
                <w:bCs/>
                <w:color w:val="000000"/>
                <w:sz w:val="18"/>
                <w:szCs w:val="18"/>
                <w:lang w:eastAsia="es-CO"/>
              </w:rPr>
            </w:pPr>
          </w:p>
          <w:p w14:paraId="1449873B">
            <w:pPr>
              <w:rPr>
                <w:rFonts w:ascii="Calibri" w:hAnsi="Calibri"/>
                <w:b w:val="0"/>
                <w:bCs/>
                <w:color w:val="000000"/>
                <w:sz w:val="18"/>
                <w:szCs w:val="18"/>
                <w:lang w:eastAsia="es-CO"/>
              </w:rPr>
            </w:pPr>
            <w:r>
              <w:rPr>
                <w:rFonts w:ascii="Calibri" w:hAnsi="Calibri"/>
                <w:b/>
                <w:bCs/>
                <w:color w:val="C00000"/>
                <w:sz w:val="18"/>
                <w:szCs w:val="18"/>
                <w:lang w:eastAsia="es-CO"/>
              </w:rPr>
              <w:t>RIESGO 3 -</w:t>
            </w:r>
            <w:r>
              <w:rPr>
                <w:rFonts w:ascii="Calibri" w:hAnsi="Calibri"/>
                <w:b w:val="0"/>
                <w:bCs/>
                <w:color w:val="C00000"/>
                <w:sz w:val="18"/>
                <w:szCs w:val="18"/>
                <w:lang w:eastAsia="es-CO"/>
              </w:rPr>
              <w:t xml:space="preserve"> </w:t>
            </w:r>
            <w:r>
              <w:rPr>
                <w:rFonts w:ascii="Calibri" w:hAnsi="Calibri"/>
                <w:b w:val="0"/>
                <w:bCs/>
                <w:color w:val="000000"/>
                <w:sz w:val="18"/>
                <w:szCs w:val="18"/>
                <w:lang w:eastAsia="es-CO"/>
              </w:rPr>
              <w:t xml:space="preserve">No realizar el </w:t>
            </w:r>
            <w:r>
              <w:rPr>
                <w:rFonts w:ascii="Calibri" w:hAnsi="Calibri"/>
                <w:b w:val="0"/>
                <w:bCs w:val="0"/>
                <w:color w:val="000000"/>
                <w:sz w:val="18"/>
                <w:szCs w:val="18"/>
                <w:lang w:eastAsia="es-CO"/>
              </w:rPr>
              <w:t>envió</w:t>
            </w:r>
            <w:r>
              <w:rPr>
                <w:rFonts w:ascii="Calibri" w:hAnsi="Calibri"/>
                <w:b w:val="0"/>
                <w:bCs/>
                <w:color w:val="000000"/>
                <w:sz w:val="18"/>
                <w:szCs w:val="18"/>
                <w:lang w:eastAsia="es-CO"/>
              </w:rPr>
              <w:t xml:space="preserve"> de los reportes y requerimientos a la UIAF, entidades de control y autoridades competentes.  </w:t>
            </w:r>
          </w:p>
        </w:tc>
        <w:tc>
          <w:tcPr>
            <w:tcW w:w="6945" w:type="dxa"/>
            <w:shd w:val="clear" w:color="auto" w:fill="auto"/>
          </w:tcPr>
          <w:p w14:paraId="63D5A8CA">
            <w:pPr>
              <w:contextualSpacing/>
              <w:rPr>
                <w:rFonts w:ascii="Calibri" w:hAnsi="Calibri"/>
                <w:color w:val="000000"/>
                <w:sz w:val="18"/>
                <w:szCs w:val="18"/>
                <w:lang w:eastAsia="es-CO"/>
              </w:rPr>
            </w:pPr>
            <w:r>
              <w:rPr>
                <w:rFonts w:ascii="Calibri" w:hAnsi="Calibri"/>
                <w:color w:val="000000"/>
                <w:sz w:val="18"/>
                <w:szCs w:val="18"/>
                <w:lang w:eastAsia="es-CO"/>
              </w:rPr>
              <w:t>Envío oportuno  y adecuado de reportes a la UIAF  y  demás Entidades competentes por parte del personal responsable</w:t>
            </w:r>
          </w:p>
        </w:tc>
      </w:tr>
      <w:tr w14:paraId="20F871E9">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371" w:hRule="atLeast"/>
        </w:trPr>
        <w:tc>
          <w:tcPr>
            <w:tcW w:w="1985" w:type="dxa"/>
            <w:vMerge w:val="continue"/>
            <w:shd w:val="clear" w:color="auto" w:fill="auto"/>
          </w:tcPr>
          <w:p w14:paraId="5B5B8243">
            <w:pPr>
              <w:rPr>
                <w:rFonts w:ascii="Calibri" w:hAnsi="Calibri"/>
                <w:b w:val="0"/>
                <w:bCs/>
                <w:color w:val="000000"/>
                <w:sz w:val="18"/>
                <w:szCs w:val="18"/>
                <w:lang w:eastAsia="es-CO"/>
              </w:rPr>
            </w:pPr>
          </w:p>
        </w:tc>
        <w:tc>
          <w:tcPr>
            <w:tcW w:w="6945" w:type="dxa"/>
            <w:shd w:val="clear" w:color="auto" w:fill="auto"/>
          </w:tcPr>
          <w:p w14:paraId="60A1243F">
            <w:pPr>
              <w:contextualSpacing/>
              <w:rPr>
                <w:rFonts w:ascii="Calibri" w:hAnsi="Calibri"/>
                <w:color w:val="000000"/>
                <w:sz w:val="18"/>
                <w:szCs w:val="18"/>
                <w:lang w:eastAsia="es-CO"/>
              </w:rPr>
            </w:pPr>
            <w:r>
              <w:rPr>
                <w:rFonts w:ascii="Calibri" w:hAnsi="Calibri"/>
                <w:color w:val="000000"/>
                <w:sz w:val="18"/>
                <w:szCs w:val="18"/>
                <w:lang w:eastAsia="es-CO"/>
              </w:rPr>
              <w:t>Disponer de los documentos y soportes necesarios para responder a los entes judiciales y de control.</w:t>
            </w:r>
          </w:p>
        </w:tc>
      </w:tr>
      <w:tr w14:paraId="1CA69938">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528" w:hRule="atLeast"/>
        </w:trPr>
        <w:tc>
          <w:tcPr>
            <w:tcW w:w="1985" w:type="dxa"/>
            <w:vMerge w:val="continue"/>
            <w:shd w:val="clear" w:color="auto" w:fill="auto"/>
          </w:tcPr>
          <w:p w14:paraId="7636B622">
            <w:pPr>
              <w:rPr>
                <w:rFonts w:ascii="Calibri" w:hAnsi="Calibri"/>
                <w:b w:val="0"/>
                <w:bCs/>
                <w:color w:val="000000"/>
                <w:sz w:val="18"/>
                <w:szCs w:val="18"/>
                <w:lang w:eastAsia="es-CO"/>
              </w:rPr>
            </w:pPr>
          </w:p>
        </w:tc>
        <w:tc>
          <w:tcPr>
            <w:tcW w:w="6945" w:type="dxa"/>
            <w:shd w:val="clear" w:color="auto" w:fill="auto"/>
          </w:tcPr>
          <w:p w14:paraId="2BF622ED">
            <w:pPr>
              <w:contextualSpacing/>
              <w:rPr>
                <w:rFonts w:ascii="Calibri" w:hAnsi="Calibri"/>
                <w:color w:val="000000"/>
                <w:sz w:val="18"/>
                <w:szCs w:val="18"/>
                <w:lang w:eastAsia="es-CO"/>
              </w:rPr>
            </w:pPr>
            <w:r>
              <w:rPr>
                <w:rFonts w:ascii="Calibri" w:hAnsi="Calibri"/>
                <w:color w:val="000000"/>
                <w:sz w:val="18"/>
                <w:szCs w:val="18"/>
                <w:lang w:eastAsia="es-CO"/>
              </w:rPr>
              <w:t>Conservación y archivo de los documentos relacionados con LA/FT por parte de las áreas responsables de cada proceso, acatando las políticas establecidas para tal fin.</w:t>
            </w:r>
          </w:p>
        </w:tc>
      </w:tr>
      <w:tr w14:paraId="37B9E027">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404" w:hRule="atLeast"/>
        </w:trPr>
        <w:tc>
          <w:tcPr>
            <w:tcW w:w="1985" w:type="dxa"/>
            <w:vMerge w:val="restart"/>
            <w:shd w:val="clear" w:color="auto" w:fill="auto"/>
          </w:tcPr>
          <w:p w14:paraId="42F8B3DC">
            <w:pPr>
              <w:rPr>
                <w:rFonts w:ascii="Calibri" w:hAnsi="Calibri"/>
                <w:b/>
                <w:bCs/>
                <w:color w:val="C00000"/>
                <w:sz w:val="18"/>
                <w:szCs w:val="18"/>
                <w:lang w:eastAsia="es-CO"/>
              </w:rPr>
            </w:pPr>
          </w:p>
          <w:p w14:paraId="3E50B8E2">
            <w:pPr>
              <w:rPr>
                <w:rFonts w:ascii="Calibri" w:hAnsi="Calibri"/>
                <w:b w:val="0"/>
                <w:bCs/>
                <w:color w:val="000000"/>
                <w:sz w:val="18"/>
                <w:szCs w:val="18"/>
                <w:lang w:eastAsia="es-CO"/>
              </w:rPr>
            </w:pPr>
            <w:r>
              <w:rPr>
                <w:rFonts w:ascii="Calibri" w:hAnsi="Calibri"/>
                <w:b/>
                <w:bCs/>
                <w:color w:val="C00000"/>
                <w:sz w:val="18"/>
                <w:szCs w:val="18"/>
                <w:lang w:eastAsia="es-CO"/>
              </w:rPr>
              <w:t>RIESGO 4 -</w:t>
            </w:r>
            <w:r>
              <w:rPr>
                <w:rFonts w:ascii="Calibri" w:hAnsi="Calibri"/>
                <w:b w:val="0"/>
                <w:bCs/>
                <w:color w:val="C00000"/>
                <w:sz w:val="18"/>
                <w:szCs w:val="18"/>
                <w:lang w:eastAsia="es-CO"/>
              </w:rPr>
              <w:t xml:space="preserve"> </w:t>
            </w:r>
            <w:r>
              <w:rPr>
                <w:rFonts w:ascii="Calibri" w:hAnsi="Calibri"/>
                <w:b w:val="0"/>
                <w:bCs/>
                <w:color w:val="000000"/>
                <w:sz w:val="18"/>
                <w:szCs w:val="18"/>
                <w:lang w:eastAsia="es-CO"/>
              </w:rPr>
              <w:t xml:space="preserve">No tener actualizada la normativa </w:t>
            </w:r>
            <w:r>
              <w:rPr>
                <w:rFonts w:ascii="Calibri" w:hAnsi="Calibri"/>
                <w:b w:val="0"/>
                <w:bCs w:val="0"/>
                <w:color w:val="000000"/>
                <w:sz w:val="18"/>
                <w:szCs w:val="18"/>
                <w:lang w:eastAsia="es-CO"/>
              </w:rPr>
              <w:t>referente a la prevención LA/FT</w:t>
            </w:r>
          </w:p>
        </w:tc>
        <w:tc>
          <w:tcPr>
            <w:tcW w:w="6945" w:type="dxa"/>
            <w:shd w:val="clear" w:color="auto" w:fill="auto"/>
          </w:tcPr>
          <w:p w14:paraId="5A18E44C">
            <w:pPr>
              <w:contextualSpacing/>
              <w:rPr>
                <w:rFonts w:ascii="Calibri" w:hAnsi="Calibri"/>
                <w:color w:val="000000"/>
                <w:sz w:val="18"/>
                <w:szCs w:val="18"/>
                <w:lang w:eastAsia="es-CO"/>
              </w:rPr>
            </w:pPr>
          </w:p>
          <w:p w14:paraId="39D19124">
            <w:pPr>
              <w:contextualSpacing/>
              <w:rPr>
                <w:rFonts w:ascii="Calibri" w:hAnsi="Calibri"/>
                <w:color w:val="000000"/>
                <w:sz w:val="18"/>
                <w:szCs w:val="18"/>
                <w:lang w:eastAsia="es-CO"/>
              </w:rPr>
            </w:pPr>
            <w:r>
              <w:rPr>
                <w:rFonts w:ascii="Calibri" w:hAnsi="Calibri"/>
                <w:color w:val="000000"/>
                <w:sz w:val="18"/>
                <w:szCs w:val="18"/>
                <w:lang w:eastAsia="es-CO"/>
              </w:rPr>
              <w:t>Identificar oportunamente los cambios realizados en la normativa sobre LA/FT</w:t>
            </w:r>
          </w:p>
        </w:tc>
      </w:tr>
      <w:tr w14:paraId="1E023F5C">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356" w:hRule="atLeast"/>
        </w:trPr>
        <w:tc>
          <w:tcPr>
            <w:tcW w:w="1985" w:type="dxa"/>
            <w:vMerge w:val="continue"/>
            <w:shd w:val="clear" w:color="auto" w:fill="auto"/>
          </w:tcPr>
          <w:p w14:paraId="70D91C58">
            <w:pPr>
              <w:rPr>
                <w:rFonts w:ascii="Calibri" w:hAnsi="Calibri"/>
                <w:b w:val="0"/>
                <w:bCs/>
                <w:color w:val="000000"/>
                <w:sz w:val="18"/>
                <w:szCs w:val="18"/>
                <w:lang w:eastAsia="es-CO"/>
              </w:rPr>
            </w:pPr>
          </w:p>
        </w:tc>
        <w:tc>
          <w:tcPr>
            <w:tcW w:w="6945" w:type="dxa"/>
            <w:shd w:val="clear" w:color="auto" w:fill="auto"/>
          </w:tcPr>
          <w:p w14:paraId="07FB2E99">
            <w:pPr>
              <w:contextualSpacing/>
              <w:rPr>
                <w:rFonts w:ascii="Calibri" w:hAnsi="Calibri"/>
                <w:color w:val="000000"/>
                <w:sz w:val="18"/>
                <w:szCs w:val="18"/>
                <w:lang w:eastAsia="es-CO"/>
              </w:rPr>
            </w:pPr>
          </w:p>
          <w:p w14:paraId="5421568D">
            <w:pPr>
              <w:contextualSpacing/>
              <w:rPr>
                <w:rFonts w:ascii="Calibri" w:hAnsi="Calibri"/>
                <w:color w:val="000000"/>
                <w:sz w:val="18"/>
                <w:szCs w:val="18"/>
                <w:lang w:eastAsia="es-CO"/>
              </w:rPr>
            </w:pPr>
            <w:r>
              <w:rPr>
                <w:rFonts w:ascii="Calibri" w:hAnsi="Calibri"/>
                <w:color w:val="000000"/>
                <w:sz w:val="18"/>
                <w:szCs w:val="18"/>
                <w:lang w:eastAsia="es-CO"/>
              </w:rPr>
              <w:t>Divulgación de las actualizaciones efectuadas con el personal involucrado en los procesos.</w:t>
            </w:r>
          </w:p>
        </w:tc>
      </w:tr>
      <w:tr w14:paraId="060729F3">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315" w:hRule="atLeast"/>
        </w:trPr>
        <w:tc>
          <w:tcPr>
            <w:tcW w:w="1985" w:type="dxa"/>
            <w:vMerge w:val="continue"/>
            <w:shd w:val="clear" w:color="auto" w:fill="auto"/>
          </w:tcPr>
          <w:p w14:paraId="5745619F">
            <w:pPr>
              <w:rPr>
                <w:rFonts w:ascii="Calibri" w:hAnsi="Calibri"/>
                <w:b w:val="0"/>
                <w:bCs/>
                <w:color w:val="000000"/>
                <w:sz w:val="18"/>
                <w:szCs w:val="18"/>
                <w:lang w:eastAsia="es-CO"/>
              </w:rPr>
            </w:pPr>
          </w:p>
        </w:tc>
        <w:tc>
          <w:tcPr>
            <w:tcW w:w="6945" w:type="dxa"/>
            <w:shd w:val="clear" w:color="auto" w:fill="auto"/>
          </w:tcPr>
          <w:p w14:paraId="4A376824">
            <w:pPr>
              <w:contextualSpacing/>
              <w:rPr>
                <w:rFonts w:ascii="Calibri" w:hAnsi="Calibri"/>
                <w:color w:val="000000"/>
                <w:sz w:val="18"/>
                <w:szCs w:val="18"/>
                <w:lang w:eastAsia="es-CO"/>
              </w:rPr>
            </w:pPr>
          </w:p>
          <w:p w14:paraId="1BBEE941">
            <w:pPr>
              <w:contextualSpacing/>
              <w:rPr>
                <w:rFonts w:ascii="Calibri" w:hAnsi="Calibri"/>
                <w:color w:val="000000"/>
                <w:sz w:val="18"/>
                <w:szCs w:val="18"/>
                <w:lang w:eastAsia="es-CO"/>
              </w:rPr>
            </w:pPr>
            <w:r>
              <w:rPr>
                <w:rFonts w:ascii="Calibri" w:hAnsi="Calibri"/>
                <w:color w:val="000000"/>
                <w:sz w:val="18"/>
                <w:szCs w:val="18"/>
                <w:lang w:eastAsia="es-CO"/>
              </w:rPr>
              <w:t>Aplicar las actualizaciones identificadas en la normativa sobre LA/FT</w:t>
            </w:r>
          </w:p>
        </w:tc>
      </w:tr>
      <w:tr w14:paraId="3086A7C9">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300" w:hRule="atLeast"/>
        </w:trPr>
        <w:tc>
          <w:tcPr>
            <w:tcW w:w="1985" w:type="dxa"/>
            <w:vMerge w:val="restart"/>
            <w:shd w:val="clear" w:color="auto" w:fill="auto"/>
          </w:tcPr>
          <w:p w14:paraId="17D091DB">
            <w:pPr>
              <w:rPr>
                <w:rFonts w:ascii="Calibri" w:hAnsi="Calibri"/>
                <w:b/>
                <w:bCs/>
                <w:color w:val="C00000"/>
                <w:sz w:val="18"/>
                <w:szCs w:val="18"/>
                <w:lang w:eastAsia="es-CO"/>
              </w:rPr>
            </w:pPr>
          </w:p>
          <w:p w14:paraId="5BE0FFC1">
            <w:pPr>
              <w:rPr>
                <w:rFonts w:ascii="Calibri" w:hAnsi="Calibri"/>
                <w:b w:val="0"/>
                <w:bCs/>
                <w:color w:val="000000"/>
                <w:sz w:val="18"/>
                <w:szCs w:val="18"/>
                <w:lang w:eastAsia="es-CO"/>
              </w:rPr>
            </w:pPr>
            <w:r>
              <w:rPr>
                <w:rFonts w:ascii="Calibri" w:hAnsi="Calibri"/>
                <w:b/>
                <w:bCs/>
                <w:color w:val="C00000"/>
                <w:sz w:val="18"/>
                <w:szCs w:val="18"/>
                <w:lang w:eastAsia="es-CO"/>
              </w:rPr>
              <w:t>RIESGO 5.</w:t>
            </w:r>
            <w:r>
              <w:rPr>
                <w:rFonts w:ascii="Calibri" w:hAnsi="Calibri"/>
                <w:b w:val="0"/>
                <w:bCs/>
                <w:color w:val="C00000"/>
                <w:sz w:val="18"/>
                <w:szCs w:val="18"/>
                <w:lang w:eastAsia="es-CO"/>
              </w:rPr>
              <w:t xml:space="preserve"> </w:t>
            </w:r>
            <w:r>
              <w:rPr>
                <w:rFonts w:ascii="Calibri" w:hAnsi="Calibri"/>
                <w:b w:val="0"/>
                <w:bCs/>
                <w:color w:val="000000"/>
                <w:sz w:val="18"/>
                <w:szCs w:val="18"/>
                <w:lang w:eastAsia="es-CO"/>
              </w:rPr>
              <w:t>No realizar el monitoreo especial a las transacciones realizadas por los PEPs y terceros con actividades de alto riesgo.</w:t>
            </w:r>
          </w:p>
        </w:tc>
        <w:tc>
          <w:tcPr>
            <w:tcW w:w="6945" w:type="dxa"/>
            <w:shd w:val="clear" w:color="auto" w:fill="auto"/>
          </w:tcPr>
          <w:p w14:paraId="1943F385">
            <w:pPr>
              <w:contextualSpacing/>
              <w:rPr>
                <w:rFonts w:ascii="Calibri" w:hAnsi="Calibri"/>
                <w:color w:val="000000"/>
                <w:sz w:val="18"/>
                <w:szCs w:val="18"/>
                <w:lang w:eastAsia="es-CO"/>
              </w:rPr>
            </w:pPr>
          </w:p>
          <w:p w14:paraId="61C07CF5">
            <w:pPr>
              <w:contextualSpacing/>
              <w:rPr>
                <w:rFonts w:ascii="Calibri" w:hAnsi="Calibri"/>
                <w:color w:val="000000"/>
                <w:sz w:val="18"/>
                <w:szCs w:val="18"/>
                <w:lang w:eastAsia="es-CO"/>
              </w:rPr>
            </w:pPr>
            <w:r>
              <w:rPr>
                <w:rFonts w:ascii="Calibri" w:hAnsi="Calibri"/>
                <w:color w:val="000000"/>
                <w:sz w:val="18"/>
                <w:szCs w:val="18"/>
                <w:lang w:eastAsia="es-CO"/>
              </w:rPr>
              <w:t>Identificar las señales de alerta de los diferentes factores de riesgo.</w:t>
            </w:r>
          </w:p>
        </w:tc>
      </w:tr>
      <w:tr w14:paraId="3AE4C96C">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300" w:hRule="atLeast"/>
        </w:trPr>
        <w:tc>
          <w:tcPr>
            <w:tcW w:w="1985" w:type="dxa"/>
            <w:vMerge w:val="continue"/>
            <w:shd w:val="clear" w:color="auto" w:fill="auto"/>
          </w:tcPr>
          <w:p w14:paraId="38DF8943">
            <w:pPr>
              <w:jc w:val="left"/>
              <w:rPr>
                <w:rFonts w:ascii="Calibri" w:hAnsi="Calibri"/>
                <w:b w:val="0"/>
                <w:bCs/>
                <w:color w:val="000000"/>
                <w:sz w:val="18"/>
                <w:szCs w:val="18"/>
                <w:lang w:eastAsia="es-CO"/>
              </w:rPr>
            </w:pPr>
          </w:p>
        </w:tc>
        <w:tc>
          <w:tcPr>
            <w:tcW w:w="6945" w:type="dxa"/>
            <w:shd w:val="clear" w:color="auto" w:fill="auto"/>
          </w:tcPr>
          <w:p w14:paraId="5EE207BC">
            <w:pPr>
              <w:contextualSpacing/>
              <w:rPr>
                <w:rFonts w:ascii="Calibri" w:hAnsi="Calibri"/>
                <w:color w:val="000000"/>
                <w:sz w:val="18"/>
                <w:szCs w:val="18"/>
                <w:lang w:eastAsia="es-CO"/>
              </w:rPr>
            </w:pPr>
          </w:p>
          <w:p w14:paraId="72A18E80">
            <w:pPr>
              <w:contextualSpacing/>
              <w:rPr>
                <w:rFonts w:ascii="Calibri" w:hAnsi="Calibri"/>
                <w:color w:val="000000"/>
                <w:sz w:val="18"/>
                <w:szCs w:val="18"/>
                <w:lang w:eastAsia="es-CO"/>
              </w:rPr>
            </w:pPr>
            <w:r>
              <w:rPr>
                <w:rFonts w:ascii="Calibri" w:hAnsi="Calibri"/>
                <w:color w:val="000000"/>
                <w:sz w:val="18"/>
                <w:szCs w:val="18"/>
                <w:lang w:eastAsia="es-CO"/>
              </w:rPr>
              <w:t>Análisis adecuado  para identificar operaciones inusuales</w:t>
            </w:r>
          </w:p>
        </w:tc>
      </w:tr>
      <w:tr w14:paraId="730243D2">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591" w:hRule="atLeast"/>
        </w:trPr>
        <w:tc>
          <w:tcPr>
            <w:tcW w:w="1985" w:type="dxa"/>
            <w:vMerge w:val="continue"/>
            <w:shd w:val="clear" w:color="auto" w:fill="auto"/>
          </w:tcPr>
          <w:p w14:paraId="76101710">
            <w:pPr>
              <w:jc w:val="left"/>
              <w:rPr>
                <w:rFonts w:ascii="Calibri" w:hAnsi="Calibri"/>
                <w:b w:val="0"/>
                <w:bCs/>
                <w:color w:val="000000"/>
                <w:sz w:val="18"/>
                <w:szCs w:val="18"/>
                <w:lang w:eastAsia="es-CO"/>
              </w:rPr>
            </w:pPr>
          </w:p>
        </w:tc>
        <w:tc>
          <w:tcPr>
            <w:tcW w:w="6945" w:type="dxa"/>
            <w:shd w:val="clear" w:color="auto" w:fill="auto"/>
          </w:tcPr>
          <w:p w14:paraId="2D697D4D">
            <w:pPr>
              <w:contextualSpacing/>
              <w:rPr>
                <w:rFonts w:ascii="Calibri" w:hAnsi="Calibri"/>
                <w:color w:val="000000"/>
                <w:sz w:val="18"/>
                <w:szCs w:val="18"/>
                <w:lang w:eastAsia="es-CO"/>
              </w:rPr>
            </w:pPr>
          </w:p>
          <w:p w14:paraId="6251B10E">
            <w:pPr>
              <w:contextualSpacing/>
              <w:rPr>
                <w:rFonts w:ascii="Calibri" w:hAnsi="Calibri"/>
                <w:color w:val="000000"/>
                <w:sz w:val="18"/>
                <w:szCs w:val="18"/>
                <w:lang w:eastAsia="es-CO"/>
              </w:rPr>
            </w:pPr>
            <w:r>
              <w:rPr>
                <w:rFonts w:ascii="Calibri" w:hAnsi="Calibri"/>
                <w:color w:val="000000"/>
                <w:sz w:val="18"/>
                <w:szCs w:val="18"/>
                <w:lang w:eastAsia="es-CO"/>
              </w:rPr>
              <w:t>Cargue adecuado de la  información de asociados, empleados y terceros relacionados en el aplicativo pertinente.</w:t>
            </w:r>
          </w:p>
        </w:tc>
      </w:tr>
    </w:tbl>
    <w:p w14:paraId="586FB1BF">
      <w:pPr>
        <w:pStyle w:val="65"/>
        <w:numPr>
          <w:ilvl w:val="0"/>
          <w:numId w:val="8"/>
        </w:numPr>
        <w:autoSpaceDE w:val="0"/>
        <w:autoSpaceDN w:val="0"/>
        <w:adjustRightInd w:val="0"/>
        <w:jc w:val="center"/>
        <w:rPr>
          <w:rFonts w:ascii="Century Gothic" w:hAnsi="Century Gothic" w:cs="Arial"/>
          <w:b/>
          <w:bCs/>
          <w:sz w:val="22"/>
          <w:szCs w:val="22"/>
          <w:lang w:eastAsia="es-CO"/>
        </w:rPr>
      </w:pPr>
      <w:r>
        <w:rPr>
          <w:rFonts w:ascii="Century Gothic" w:hAnsi="Century Gothic" w:cs="Arial"/>
          <w:b/>
          <w:bCs/>
          <w:sz w:val="22"/>
          <w:szCs w:val="22"/>
          <w:lang w:eastAsia="es-CO"/>
        </w:rPr>
        <w:t>CÓDIGO DE ÉTICA Y CONDUCTA</w:t>
      </w:r>
    </w:p>
    <w:p w14:paraId="7919523D">
      <w:pPr>
        <w:contextualSpacing/>
        <w:rPr>
          <w:rFonts w:ascii="Century Gothic" w:hAnsi="Century Gothic"/>
          <w:sz w:val="22"/>
          <w:szCs w:val="22"/>
          <w:lang w:val="es-MX"/>
        </w:rPr>
      </w:pPr>
    </w:p>
    <w:p w14:paraId="5B74E538">
      <w:pPr>
        <w:contextualSpacing/>
        <w:rPr>
          <w:rFonts w:ascii="Century Gothic" w:hAnsi="Century Gothic"/>
          <w:sz w:val="22"/>
          <w:szCs w:val="22"/>
          <w:lang w:val="es-MX"/>
        </w:rPr>
      </w:pPr>
      <w:r>
        <w:rPr>
          <w:rFonts w:ascii="Century Gothic" w:hAnsi="Century Gothic"/>
          <w:sz w:val="22"/>
          <w:szCs w:val="22"/>
          <w:lang w:val="es-MX"/>
        </w:rPr>
        <w:t>El Código de ética y conducta, es un compendio expreso de pautas de comportamiento que indican que la política de la Entidad  está dirigida a procurar preservar la idoneidad de todos sus empleados, directivos e instancias de control frente a  la gestión en los diferentes roles y responsabilidades en el devenir de las actividades comerciales y sociales que se desarrollan.</w:t>
      </w:r>
    </w:p>
    <w:p w14:paraId="2E8A8750">
      <w:pPr>
        <w:contextualSpacing/>
        <w:rPr>
          <w:rFonts w:ascii="Century Gothic" w:hAnsi="Century Gothic"/>
          <w:sz w:val="22"/>
          <w:szCs w:val="22"/>
          <w:lang w:val="es-MX"/>
        </w:rPr>
      </w:pPr>
    </w:p>
    <w:p w14:paraId="1375C61B">
      <w:pPr>
        <w:contextualSpacing/>
        <w:rPr>
          <w:rFonts w:ascii="Century Gothic" w:hAnsi="Century Gothic"/>
          <w:sz w:val="22"/>
          <w:szCs w:val="22"/>
          <w:lang w:val="es-MX"/>
        </w:rPr>
      </w:pPr>
      <w:r>
        <w:rPr>
          <w:rFonts w:ascii="Century Gothic" w:hAnsi="Century Gothic"/>
          <w:sz w:val="22"/>
          <w:szCs w:val="22"/>
          <w:lang w:val="es-MX"/>
        </w:rPr>
        <w:t>En materia de prevención de actividades ilícitas, el Estatuto Orgánico del Sistema Financiero, dispone la adopción de reglas de conducta, en el numeral 2o. del artículo 102. Para el caso de las cooperativas, según lo señala el numeral 8.2 del Capítulo XI, del Título  II de la Circular Básica Jurídica de la Superintendencia de la Economía Solidaria y las CE 04/2017 y 14/2018 expedidas por dicha Superintendencia.</w:t>
      </w:r>
    </w:p>
    <w:p w14:paraId="283DBC92">
      <w:pPr>
        <w:contextualSpacing/>
        <w:rPr>
          <w:rFonts w:ascii="Century Gothic" w:hAnsi="Century Gothic"/>
          <w:sz w:val="22"/>
          <w:szCs w:val="22"/>
          <w:lang w:val="es-MX"/>
        </w:rPr>
      </w:pPr>
    </w:p>
    <w:p w14:paraId="564168C5">
      <w:pPr>
        <w:contextualSpacing/>
        <w:rPr>
          <w:rFonts w:ascii="Century Gothic" w:hAnsi="Century Gothic"/>
          <w:sz w:val="22"/>
          <w:szCs w:val="22"/>
          <w:lang w:val="es-MX"/>
        </w:rPr>
      </w:pPr>
    </w:p>
    <w:p w14:paraId="637800CF">
      <w:pPr>
        <w:pStyle w:val="65"/>
        <w:numPr>
          <w:ilvl w:val="1"/>
          <w:numId w:val="8"/>
        </w:numPr>
        <w:contextualSpacing/>
        <w:rPr>
          <w:rFonts w:ascii="Century Gothic" w:hAnsi="Century Gothic"/>
          <w:sz w:val="22"/>
          <w:szCs w:val="22"/>
          <w:lang w:val="es-MX"/>
        </w:rPr>
      </w:pPr>
      <w:r>
        <w:rPr>
          <w:rFonts w:ascii="Century Gothic" w:hAnsi="Century Gothic"/>
          <w:b/>
          <w:sz w:val="22"/>
          <w:szCs w:val="22"/>
          <w:lang w:val="es-MX"/>
        </w:rPr>
        <w:t>DE LOS OBJETIVOS.</w:t>
      </w:r>
      <w:r>
        <w:rPr>
          <w:rFonts w:ascii="Century Gothic" w:hAnsi="Century Gothic"/>
          <w:sz w:val="22"/>
          <w:szCs w:val="22"/>
          <w:lang w:val="es-MX"/>
        </w:rPr>
        <w:t xml:space="preserve"> </w:t>
      </w:r>
    </w:p>
    <w:p w14:paraId="0DC3E1E4">
      <w:pPr>
        <w:contextualSpacing/>
        <w:rPr>
          <w:rFonts w:ascii="Century Gothic" w:hAnsi="Century Gothic"/>
          <w:sz w:val="22"/>
          <w:szCs w:val="22"/>
          <w:lang w:val="es-MX"/>
        </w:rPr>
      </w:pPr>
    </w:p>
    <w:p w14:paraId="2EBD8F64">
      <w:pPr>
        <w:contextualSpacing/>
        <w:rPr>
          <w:rFonts w:ascii="Century Gothic" w:hAnsi="Century Gothic"/>
          <w:sz w:val="22"/>
          <w:szCs w:val="22"/>
          <w:lang w:val="es-MX"/>
        </w:rPr>
      </w:pPr>
      <w:r>
        <w:rPr>
          <w:rFonts w:ascii="Century Gothic" w:hAnsi="Century Gothic"/>
          <w:sz w:val="22"/>
          <w:szCs w:val="22"/>
          <w:lang w:val="es-MX"/>
        </w:rPr>
        <w:t xml:space="preserve">El objetivo prioritario de este código de ética y conducta es fijar las normas generales tendientes a fundamentar los principios morales, en los cuales debe descansar  el  ejercicio profesional pretendiendo guiar la conducta de  las personas que hacen parte de nuestra Entidad.  </w:t>
      </w:r>
    </w:p>
    <w:p w14:paraId="3932C592">
      <w:pPr>
        <w:contextualSpacing/>
        <w:rPr>
          <w:rFonts w:ascii="Century Gothic" w:hAnsi="Century Gothic"/>
          <w:sz w:val="22"/>
          <w:szCs w:val="22"/>
          <w:lang w:val="es-MX"/>
        </w:rPr>
      </w:pPr>
    </w:p>
    <w:p w14:paraId="6BD24E80">
      <w:pPr>
        <w:contextualSpacing/>
        <w:rPr>
          <w:rFonts w:ascii="Century Gothic" w:hAnsi="Century Gothic"/>
          <w:sz w:val="22"/>
          <w:szCs w:val="22"/>
          <w:lang w:val="es-MX"/>
        </w:rPr>
      </w:pPr>
      <w:r>
        <w:rPr>
          <w:rFonts w:ascii="Century Gothic" w:hAnsi="Century Gothic"/>
          <w:sz w:val="22"/>
          <w:szCs w:val="22"/>
          <w:lang w:val="es-MX"/>
        </w:rPr>
        <w:t>Tiene por objetivo establecer la forma de dirigir, ejecutar y cumplir las actividades comerciales y administrativas, bajo unos requisitos claros de ética; con el fin de lograr, que tanto directivos como los funcionarios, conserven la reputación de profesionalismo, integridad y responsabilidad. Este objetivo se logra si todas las personas en desarrollo de su actividad laboral, directa e indirectamente, actúan de acuerdo con estos objetivos y con rectitud en el cuidado y administración de los recursos recomendados por los asociados, reduciendo el nivel de riesgos, midiendo la magnitud de los mismos y estableciendo las coberturas requeridas para mitigarlos.</w:t>
      </w:r>
    </w:p>
    <w:p w14:paraId="7E1A63E1">
      <w:pPr>
        <w:contextualSpacing/>
        <w:rPr>
          <w:rFonts w:ascii="Century Gothic" w:hAnsi="Century Gothic"/>
          <w:sz w:val="22"/>
          <w:szCs w:val="22"/>
          <w:lang w:val="es-MX"/>
        </w:rPr>
      </w:pPr>
    </w:p>
    <w:p w14:paraId="5576B7C8">
      <w:pPr>
        <w:contextualSpacing/>
        <w:rPr>
          <w:rFonts w:ascii="Century Gothic" w:hAnsi="Century Gothic"/>
          <w:sz w:val="22"/>
          <w:szCs w:val="22"/>
          <w:lang w:val="es-MX"/>
        </w:rPr>
      </w:pPr>
      <w:r>
        <w:rPr>
          <w:rFonts w:ascii="Century Gothic" w:hAnsi="Century Gothic"/>
          <w:sz w:val="22"/>
          <w:szCs w:val="22"/>
          <w:lang w:val="es-MX"/>
        </w:rPr>
        <w:t>El código de ética y conducta tiene como propósito desarrollar y perpetuar una  organización sensible al asociado y usuario y orientado al buen servicio; una institución vigorosa, centrada en la estructura organizacional, con una gerencia  participativa,  inspirada en un excelente servicio y con proyección basada en una alta responsabilidad hacia el país y principalmente hacia las comunidades donde la entidad hace presencia.</w:t>
      </w:r>
    </w:p>
    <w:p w14:paraId="46755609">
      <w:pPr>
        <w:contextualSpacing/>
        <w:rPr>
          <w:rFonts w:ascii="Century Gothic" w:hAnsi="Century Gothic"/>
          <w:sz w:val="22"/>
          <w:szCs w:val="22"/>
          <w:lang w:val="es-MX"/>
        </w:rPr>
      </w:pPr>
    </w:p>
    <w:p w14:paraId="265D3A70">
      <w:pPr>
        <w:contextualSpacing/>
        <w:rPr>
          <w:rFonts w:ascii="Century Gothic" w:hAnsi="Century Gothic"/>
          <w:sz w:val="22"/>
          <w:szCs w:val="22"/>
          <w:lang w:val="es-MX"/>
        </w:rPr>
      </w:pPr>
    </w:p>
    <w:p w14:paraId="6197B19A">
      <w:pPr>
        <w:contextualSpacing/>
        <w:rPr>
          <w:rFonts w:ascii="Century Gothic" w:hAnsi="Century Gothic"/>
          <w:sz w:val="22"/>
          <w:szCs w:val="22"/>
          <w:lang w:val="es-MX"/>
        </w:rPr>
      </w:pPr>
    </w:p>
    <w:p w14:paraId="1E728411">
      <w:pPr>
        <w:pStyle w:val="65"/>
        <w:numPr>
          <w:ilvl w:val="1"/>
          <w:numId w:val="8"/>
        </w:numPr>
        <w:contextualSpacing/>
        <w:rPr>
          <w:rFonts w:ascii="Century Gothic" w:hAnsi="Century Gothic"/>
          <w:sz w:val="22"/>
          <w:szCs w:val="22"/>
          <w:lang w:val="es-MX"/>
        </w:rPr>
      </w:pPr>
      <w:r>
        <w:rPr>
          <w:rFonts w:ascii="Century Gothic" w:hAnsi="Century Gothic"/>
          <w:b/>
          <w:sz w:val="22"/>
          <w:szCs w:val="22"/>
          <w:lang w:val="es-MX"/>
        </w:rPr>
        <w:t xml:space="preserve"> JUSTIFICACIÓN.</w:t>
      </w:r>
      <w:r>
        <w:rPr>
          <w:rFonts w:ascii="Century Gothic" w:hAnsi="Century Gothic"/>
          <w:sz w:val="22"/>
          <w:szCs w:val="22"/>
          <w:lang w:val="es-MX"/>
        </w:rPr>
        <w:t xml:space="preserve"> </w:t>
      </w:r>
    </w:p>
    <w:p w14:paraId="2A415020">
      <w:pPr>
        <w:contextualSpacing/>
        <w:rPr>
          <w:rFonts w:ascii="Century Gothic" w:hAnsi="Century Gothic"/>
          <w:sz w:val="22"/>
          <w:szCs w:val="22"/>
          <w:lang w:val="es-MX"/>
        </w:rPr>
      </w:pPr>
    </w:p>
    <w:p w14:paraId="26ABAE33">
      <w:pPr>
        <w:contextualSpacing/>
        <w:rPr>
          <w:rFonts w:ascii="Century Gothic" w:hAnsi="Century Gothic"/>
          <w:sz w:val="22"/>
          <w:szCs w:val="22"/>
          <w:lang w:val="es-MX"/>
        </w:rPr>
      </w:pPr>
      <w:r>
        <w:rPr>
          <w:rFonts w:ascii="Century Gothic" w:hAnsi="Century Gothic"/>
          <w:sz w:val="22"/>
          <w:szCs w:val="22"/>
          <w:lang w:val="es-MX"/>
        </w:rPr>
        <w:t>Es la voluntad de la institución de elaborar  un  documento escrito, que sea guía para el desarrollo de las actividades comerciales y de trabajo, como medio natural que tiene el ser humano para realizarse como tal. Ante todo, debe ser guía de actuación, por excelencia, para nuestra entidad, los directivos y sus funcionarios.</w:t>
      </w:r>
    </w:p>
    <w:p w14:paraId="23469473">
      <w:pPr>
        <w:contextualSpacing/>
        <w:rPr>
          <w:rFonts w:ascii="Century Gothic" w:hAnsi="Century Gothic"/>
          <w:sz w:val="22"/>
          <w:szCs w:val="22"/>
          <w:lang w:val="es-MX"/>
        </w:rPr>
      </w:pPr>
    </w:p>
    <w:p w14:paraId="50B03299">
      <w:pPr>
        <w:contextualSpacing/>
        <w:rPr>
          <w:rFonts w:ascii="Century Gothic" w:hAnsi="Century Gothic"/>
          <w:sz w:val="22"/>
          <w:szCs w:val="22"/>
          <w:lang w:val="es-MX"/>
        </w:rPr>
      </w:pPr>
    </w:p>
    <w:p w14:paraId="65B9C2E9">
      <w:pPr>
        <w:pStyle w:val="65"/>
        <w:numPr>
          <w:ilvl w:val="1"/>
          <w:numId w:val="8"/>
        </w:numPr>
        <w:contextualSpacing/>
        <w:rPr>
          <w:rFonts w:ascii="Century Gothic" w:hAnsi="Century Gothic"/>
          <w:b/>
          <w:sz w:val="22"/>
          <w:szCs w:val="22"/>
          <w:lang w:val="es-MX"/>
        </w:rPr>
      </w:pPr>
      <w:r>
        <w:rPr>
          <w:rFonts w:ascii="Century Gothic" w:hAnsi="Century Gothic"/>
          <w:b/>
          <w:sz w:val="22"/>
          <w:szCs w:val="22"/>
          <w:lang w:val="es-MX"/>
        </w:rPr>
        <w:t xml:space="preserve"> ALCANCE.</w:t>
      </w:r>
    </w:p>
    <w:p w14:paraId="22775B42">
      <w:pPr>
        <w:contextualSpacing/>
        <w:rPr>
          <w:rFonts w:ascii="Century Gothic" w:hAnsi="Century Gothic"/>
          <w:sz w:val="22"/>
          <w:szCs w:val="22"/>
          <w:lang w:val="es-MX"/>
        </w:rPr>
      </w:pPr>
    </w:p>
    <w:p w14:paraId="57F4BB0E">
      <w:pPr>
        <w:contextualSpacing/>
        <w:rPr>
          <w:rFonts w:ascii="Century Gothic" w:hAnsi="Century Gothic"/>
          <w:sz w:val="22"/>
          <w:szCs w:val="22"/>
          <w:lang w:val="es-MX"/>
        </w:rPr>
      </w:pPr>
      <w:r>
        <w:rPr>
          <w:rFonts w:ascii="Century Gothic" w:hAnsi="Century Gothic"/>
          <w:sz w:val="22"/>
          <w:szCs w:val="22"/>
          <w:lang w:val="es-MX"/>
        </w:rPr>
        <w:t>El presente documento abarca las actuaciones que realice el Consejo de Administración, la Junta de Vigilancia, los diferentes comités establecidos por  la entidad, el Gerente y en general todos los funcionarios que hacen parte de la planta de personal de la organización, quienes deberán velar por el estricto cumplimiento de los manuales, reglamentos y del Código Buen Gobierno y de Ética y Conducta incorporado a la normatividad interna. La no observancia del mismo conducirá a las sanciones pertinentes de carácter administrativo y legal.</w:t>
      </w:r>
    </w:p>
    <w:p w14:paraId="62B8FE3F">
      <w:pPr>
        <w:contextualSpacing/>
        <w:rPr>
          <w:rFonts w:ascii="Century Gothic" w:hAnsi="Century Gothic"/>
          <w:sz w:val="22"/>
          <w:szCs w:val="22"/>
          <w:lang w:val="es-MX"/>
        </w:rPr>
      </w:pPr>
      <w:r>
        <w:rPr>
          <w:rFonts w:ascii="Century Gothic" w:hAnsi="Century Gothic"/>
          <w:sz w:val="22"/>
          <w:szCs w:val="22"/>
          <w:lang w:val="es-MX"/>
        </w:rPr>
        <w:t xml:space="preserve"> </w:t>
      </w:r>
    </w:p>
    <w:p w14:paraId="1291E882">
      <w:pPr>
        <w:contextualSpacing/>
        <w:rPr>
          <w:rFonts w:ascii="Century Gothic" w:hAnsi="Century Gothic"/>
          <w:sz w:val="22"/>
          <w:szCs w:val="22"/>
          <w:lang w:val="es-MX"/>
        </w:rPr>
      </w:pPr>
    </w:p>
    <w:p w14:paraId="6DFEA1E2">
      <w:pPr>
        <w:pStyle w:val="65"/>
        <w:numPr>
          <w:ilvl w:val="1"/>
          <w:numId w:val="8"/>
        </w:numPr>
        <w:contextualSpacing/>
        <w:rPr>
          <w:rFonts w:ascii="Century Gothic" w:hAnsi="Century Gothic"/>
          <w:b/>
          <w:sz w:val="22"/>
          <w:szCs w:val="22"/>
          <w:lang w:val="es-MX"/>
        </w:rPr>
      </w:pPr>
      <w:r>
        <w:rPr>
          <w:rFonts w:ascii="Century Gothic" w:hAnsi="Century Gothic"/>
          <w:b/>
          <w:sz w:val="22"/>
          <w:szCs w:val="22"/>
          <w:lang w:val="es-MX"/>
        </w:rPr>
        <w:t xml:space="preserve"> PRINCIPIOS ÈTICOS o NORMAS DE CONDUCTA.</w:t>
      </w:r>
    </w:p>
    <w:p w14:paraId="5C9543A0">
      <w:pPr>
        <w:contextualSpacing/>
        <w:rPr>
          <w:rFonts w:ascii="Century Gothic" w:hAnsi="Century Gothic"/>
          <w:sz w:val="22"/>
          <w:szCs w:val="22"/>
          <w:lang w:val="es-MX"/>
        </w:rPr>
      </w:pPr>
    </w:p>
    <w:p w14:paraId="655039F3">
      <w:pPr>
        <w:contextualSpacing/>
        <w:rPr>
          <w:rFonts w:ascii="Century Gothic" w:hAnsi="Century Gothic"/>
          <w:sz w:val="22"/>
          <w:szCs w:val="22"/>
          <w:lang w:val="es-MX"/>
        </w:rPr>
      </w:pPr>
      <w:r>
        <w:rPr>
          <w:rFonts w:ascii="Century Gothic" w:hAnsi="Century Gothic"/>
          <w:sz w:val="22"/>
          <w:szCs w:val="22"/>
          <w:lang w:val="es-MX"/>
        </w:rPr>
        <w:t xml:space="preserve"> Las personas a las que aplica este código deben observar los siguientes principios:</w:t>
      </w:r>
    </w:p>
    <w:p w14:paraId="51CBFD89">
      <w:pPr>
        <w:pStyle w:val="65"/>
        <w:numPr>
          <w:ilvl w:val="0"/>
          <w:numId w:val="84"/>
        </w:numPr>
        <w:spacing w:after="200"/>
        <w:contextualSpacing/>
        <w:rPr>
          <w:rFonts w:ascii="Century Gothic" w:hAnsi="Century Gothic"/>
          <w:sz w:val="22"/>
          <w:szCs w:val="22"/>
          <w:lang w:val="es-MX"/>
        </w:rPr>
      </w:pPr>
      <w:r>
        <w:rPr>
          <w:rFonts w:ascii="Century Gothic" w:hAnsi="Century Gothic"/>
          <w:sz w:val="22"/>
          <w:szCs w:val="22"/>
          <w:lang w:val="es-MX"/>
        </w:rPr>
        <w:t>Respeto por las personas</w:t>
      </w:r>
    </w:p>
    <w:p w14:paraId="19CA5DF1">
      <w:pPr>
        <w:pStyle w:val="65"/>
        <w:numPr>
          <w:ilvl w:val="0"/>
          <w:numId w:val="84"/>
        </w:numPr>
        <w:spacing w:after="200"/>
        <w:contextualSpacing/>
        <w:rPr>
          <w:rFonts w:ascii="Century Gothic" w:hAnsi="Century Gothic"/>
          <w:sz w:val="22"/>
          <w:szCs w:val="22"/>
          <w:lang w:val="es-MX"/>
        </w:rPr>
      </w:pPr>
      <w:r>
        <w:rPr>
          <w:rFonts w:ascii="Century Gothic" w:hAnsi="Century Gothic"/>
          <w:sz w:val="22"/>
          <w:szCs w:val="22"/>
          <w:lang w:val="es-MX"/>
        </w:rPr>
        <w:t>Comportamiento personal</w:t>
      </w:r>
    </w:p>
    <w:p w14:paraId="0382B2FB">
      <w:pPr>
        <w:pStyle w:val="65"/>
        <w:numPr>
          <w:ilvl w:val="0"/>
          <w:numId w:val="84"/>
        </w:numPr>
        <w:spacing w:after="200"/>
        <w:contextualSpacing/>
        <w:rPr>
          <w:rFonts w:ascii="Century Gothic" w:hAnsi="Century Gothic"/>
          <w:sz w:val="22"/>
          <w:szCs w:val="22"/>
          <w:lang w:val="es-MX"/>
        </w:rPr>
      </w:pPr>
      <w:r>
        <w:rPr>
          <w:rFonts w:ascii="Century Gothic" w:hAnsi="Century Gothic"/>
          <w:sz w:val="22"/>
          <w:szCs w:val="22"/>
          <w:lang w:val="es-MX"/>
        </w:rPr>
        <w:t>Desempeño y competencia profesional</w:t>
      </w:r>
    </w:p>
    <w:p w14:paraId="48190526">
      <w:pPr>
        <w:pStyle w:val="65"/>
        <w:numPr>
          <w:ilvl w:val="0"/>
          <w:numId w:val="84"/>
        </w:numPr>
        <w:spacing w:after="200"/>
        <w:contextualSpacing/>
        <w:rPr>
          <w:rFonts w:ascii="Century Gothic" w:hAnsi="Century Gothic"/>
          <w:sz w:val="22"/>
          <w:szCs w:val="22"/>
          <w:lang w:val="es-MX"/>
        </w:rPr>
      </w:pPr>
      <w:r>
        <w:rPr>
          <w:rFonts w:ascii="Century Gothic" w:hAnsi="Century Gothic"/>
          <w:sz w:val="22"/>
          <w:szCs w:val="22"/>
          <w:lang w:val="es-MX"/>
        </w:rPr>
        <w:t>Responsabilidad</w:t>
      </w:r>
    </w:p>
    <w:p w14:paraId="02E764F7">
      <w:pPr>
        <w:pStyle w:val="65"/>
        <w:numPr>
          <w:ilvl w:val="0"/>
          <w:numId w:val="84"/>
        </w:numPr>
        <w:spacing w:after="200"/>
        <w:contextualSpacing/>
        <w:rPr>
          <w:rFonts w:ascii="Century Gothic" w:hAnsi="Century Gothic"/>
          <w:sz w:val="22"/>
          <w:szCs w:val="22"/>
          <w:lang w:val="es-MX"/>
        </w:rPr>
      </w:pPr>
      <w:r>
        <w:rPr>
          <w:rFonts w:ascii="Century Gothic" w:hAnsi="Century Gothic"/>
          <w:sz w:val="22"/>
          <w:szCs w:val="22"/>
          <w:lang w:val="es-MX"/>
        </w:rPr>
        <w:t>Justicia y equidad</w:t>
      </w:r>
    </w:p>
    <w:p w14:paraId="02190943">
      <w:pPr>
        <w:pStyle w:val="65"/>
        <w:numPr>
          <w:ilvl w:val="0"/>
          <w:numId w:val="84"/>
        </w:numPr>
        <w:spacing w:after="200"/>
        <w:contextualSpacing/>
        <w:rPr>
          <w:rFonts w:ascii="Century Gothic" w:hAnsi="Century Gothic"/>
          <w:sz w:val="22"/>
          <w:szCs w:val="22"/>
          <w:lang w:val="es-MX"/>
        </w:rPr>
      </w:pPr>
      <w:r>
        <w:rPr>
          <w:rFonts w:ascii="Century Gothic" w:hAnsi="Century Gothic"/>
          <w:sz w:val="22"/>
          <w:szCs w:val="22"/>
          <w:lang w:val="es-MX"/>
        </w:rPr>
        <w:t>Estricto apego a la legalidad</w:t>
      </w:r>
    </w:p>
    <w:p w14:paraId="1585054B">
      <w:pPr>
        <w:pStyle w:val="65"/>
        <w:numPr>
          <w:ilvl w:val="0"/>
          <w:numId w:val="84"/>
        </w:numPr>
        <w:spacing w:after="200"/>
        <w:contextualSpacing/>
        <w:rPr>
          <w:rFonts w:ascii="Century Gothic" w:hAnsi="Century Gothic"/>
          <w:sz w:val="22"/>
          <w:szCs w:val="22"/>
          <w:lang w:val="es-MX"/>
        </w:rPr>
      </w:pPr>
      <w:r>
        <w:rPr>
          <w:rFonts w:ascii="Century Gothic" w:hAnsi="Century Gothic"/>
          <w:sz w:val="22"/>
          <w:szCs w:val="22"/>
          <w:lang w:val="es-MX"/>
        </w:rPr>
        <w:t>Acatamiento a la normatividad interna</w:t>
      </w:r>
    </w:p>
    <w:p w14:paraId="2B28D054">
      <w:pPr>
        <w:contextualSpacing/>
        <w:rPr>
          <w:rFonts w:ascii="Century Gothic" w:hAnsi="Century Gothic"/>
          <w:sz w:val="22"/>
          <w:szCs w:val="22"/>
          <w:lang w:val="es-MX"/>
        </w:rPr>
      </w:pPr>
    </w:p>
    <w:p w14:paraId="57CD00AC">
      <w:pPr>
        <w:pStyle w:val="65"/>
        <w:numPr>
          <w:ilvl w:val="1"/>
          <w:numId w:val="8"/>
        </w:numPr>
        <w:contextualSpacing/>
        <w:rPr>
          <w:rFonts w:ascii="Century Gothic" w:hAnsi="Century Gothic"/>
          <w:b/>
          <w:sz w:val="22"/>
          <w:szCs w:val="22"/>
          <w:lang w:val="es-MX"/>
        </w:rPr>
      </w:pPr>
      <w:r>
        <w:rPr>
          <w:rFonts w:ascii="Century Gothic" w:hAnsi="Century Gothic"/>
          <w:b/>
          <w:sz w:val="22"/>
          <w:szCs w:val="22"/>
          <w:lang w:val="es-MX"/>
        </w:rPr>
        <w:t xml:space="preserve"> INFORMACIÓN PRIVILEGIADA E INFORMACIÓN RESERVADA</w:t>
      </w:r>
    </w:p>
    <w:p w14:paraId="42D4D91F">
      <w:pPr>
        <w:contextualSpacing/>
        <w:rPr>
          <w:rFonts w:ascii="Century Gothic" w:hAnsi="Century Gothic"/>
          <w:b/>
          <w:sz w:val="22"/>
          <w:szCs w:val="22"/>
          <w:lang w:val="es-MX"/>
        </w:rPr>
      </w:pPr>
    </w:p>
    <w:p w14:paraId="6AE6140E">
      <w:pPr>
        <w:pStyle w:val="65"/>
        <w:numPr>
          <w:ilvl w:val="1"/>
          <w:numId w:val="56"/>
        </w:numPr>
        <w:contextualSpacing/>
        <w:rPr>
          <w:rFonts w:ascii="Century Gothic" w:hAnsi="Century Gothic"/>
          <w:b/>
          <w:sz w:val="22"/>
          <w:szCs w:val="22"/>
          <w:lang w:val="es-MX"/>
        </w:rPr>
      </w:pPr>
      <w:r>
        <w:rPr>
          <w:rFonts w:ascii="Century Gothic" w:hAnsi="Century Gothic"/>
          <w:b/>
          <w:sz w:val="22"/>
          <w:szCs w:val="22"/>
          <w:lang w:val="es-MX"/>
        </w:rPr>
        <w:t>INFORMACIÓN PRIVILEGIADA</w:t>
      </w:r>
    </w:p>
    <w:p w14:paraId="6E9FAC29">
      <w:pPr>
        <w:contextualSpacing/>
        <w:rPr>
          <w:rFonts w:ascii="Century Gothic" w:hAnsi="Century Gothic"/>
          <w:b/>
          <w:sz w:val="22"/>
          <w:szCs w:val="22"/>
          <w:lang w:val="es-MX"/>
        </w:rPr>
      </w:pPr>
    </w:p>
    <w:p w14:paraId="56E90FC4">
      <w:pPr>
        <w:contextualSpacing/>
        <w:rPr>
          <w:rFonts w:ascii="Century Gothic" w:hAnsi="Century Gothic"/>
          <w:sz w:val="22"/>
          <w:szCs w:val="22"/>
          <w:lang w:val="es-MX"/>
        </w:rPr>
      </w:pPr>
      <w:r>
        <w:rPr>
          <w:rFonts w:ascii="Century Gothic" w:hAnsi="Century Gothic"/>
          <w:sz w:val="22"/>
          <w:szCs w:val="22"/>
          <w:lang w:val="es-MX"/>
        </w:rPr>
        <w:t>Se refiere a toda información a la cual  solo tienen acceso directo la Gerencia, el Consejo de Administración, la Junta de Vigilancia, la Revisoría Fiscal y  demás funcionarios de la Entidad,  en razón de su cargo y que está relacionada, ya  sea directa o indirectamente a uno o varios productos y/o actividades comerciales o administrativas de la Entidad, que no se haya hecho públicos y que, de hacerse o haberse hecho público, podría influir o hubiera influido de manera apreciable en favor de terceros.</w:t>
      </w:r>
    </w:p>
    <w:p w14:paraId="460EB555">
      <w:pPr>
        <w:contextualSpacing/>
        <w:rPr>
          <w:rFonts w:ascii="Century Gothic" w:hAnsi="Century Gothic"/>
          <w:b/>
          <w:sz w:val="22"/>
          <w:szCs w:val="22"/>
          <w:lang w:val="es-MX"/>
        </w:rPr>
      </w:pPr>
      <w:r>
        <w:rPr>
          <w:rFonts w:ascii="Century Gothic" w:hAnsi="Century Gothic"/>
          <w:b/>
          <w:sz w:val="22"/>
          <w:szCs w:val="22"/>
          <w:lang w:val="es-MX"/>
        </w:rPr>
        <w:t>HECHOS QUE TIPIFICAN USO INDEBIDO DE LA INFORMACIÓN</w:t>
      </w:r>
    </w:p>
    <w:p w14:paraId="3D4F63A2">
      <w:pPr>
        <w:contextualSpacing/>
        <w:rPr>
          <w:rFonts w:ascii="Century Gothic" w:hAnsi="Century Gothic"/>
          <w:b/>
          <w:sz w:val="22"/>
          <w:szCs w:val="22"/>
          <w:lang w:val="es-MX"/>
        </w:rPr>
      </w:pPr>
    </w:p>
    <w:p w14:paraId="29AE0AF4">
      <w:pPr>
        <w:contextualSpacing/>
        <w:rPr>
          <w:rFonts w:ascii="Century Gothic" w:hAnsi="Century Gothic"/>
          <w:sz w:val="22"/>
          <w:szCs w:val="22"/>
          <w:lang w:val="es-MX"/>
        </w:rPr>
      </w:pPr>
      <w:r>
        <w:rPr>
          <w:rFonts w:ascii="Century Gothic" w:hAnsi="Century Gothic"/>
          <w:b/>
          <w:sz w:val="22"/>
          <w:szCs w:val="22"/>
          <w:lang w:val="es-MX"/>
        </w:rPr>
        <w:t>PRIVILEGIADA:</w:t>
      </w:r>
      <w:r>
        <w:rPr>
          <w:rFonts w:ascii="Century Gothic" w:hAnsi="Century Gothic"/>
          <w:sz w:val="22"/>
          <w:szCs w:val="22"/>
          <w:lang w:val="es-MX"/>
        </w:rPr>
        <w:t xml:space="preserve"> Se consideran hechos que indican el uso indebido de la información privilegiada, por parte del funcionario que la posea y que se encuentre obligado a mantenerla en reserva, los siguientes:</w:t>
      </w:r>
    </w:p>
    <w:p w14:paraId="14E708F6">
      <w:pPr>
        <w:pStyle w:val="65"/>
        <w:numPr>
          <w:ilvl w:val="0"/>
          <w:numId w:val="85"/>
        </w:numPr>
        <w:spacing w:after="200"/>
        <w:contextualSpacing/>
        <w:rPr>
          <w:rFonts w:ascii="Century Gothic" w:hAnsi="Century Gothic"/>
          <w:sz w:val="22"/>
          <w:szCs w:val="22"/>
          <w:lang w:val="es-MX"/>
        </w:rPr>
      </w:pPr>
      <w:r>
        <w:rPr>
          <w:rFonts w:ascii="Century Gothic" w:hAnsi="Century Gothic"/>
          <w:sz w:val="22"/>
          <w:szCs w:val="22"/>
          <w:lang w:val="es-MX"/>
        </w:rPr>
        <w:t>Que se haga pública sin previa autorización de la parte interesada.</w:t>
      </w:r>
    </w:p>
    <w:p w14:paraId="7E4F826E">
      <w:pPr>
        <w:pStyle w:val="65"/>
        <w:numPr>
          <w:ilvl w:val="0"/>
          <w:numId w:val="85"/>
        </w:numPr>
        <w:spacing w:after="200"/>
        <w:contextualSpacing/>
        <w:rPr>
          <w:rFonts w:ascii="Century Gothic" w:hAnsi="Century Gothic"/>
          <w:sz w:val="22"/>
          <w:szCs w:val="22"/>
          <w:lang w:val="es-MX"/>
        </w:rPr>
      </w:pPr>
      <w:r>
        <w:rPr>
          <w:rFonts w:ascii="Century Gothic" w:hAnsi="Century Gothic"/>
          <w:sz w:val="22"/>
          <w:szCs w:val="22"/>
          <w:lang w:val="es-MX"/>
        </w:rPr>
        <w:t>Que se suministre a quienes no tienen derecho a acceder a ella.</w:t>
      </w:r>
    </w:p>
    <w:p w14:paraId="4B4BB796">
      <w:pPr>
        <w:pStyle w:val="65"/>
        <w:numPr>
          <w:ilvl w:val="0"/>
          <w:numId w:val="85"/>
        </w:numPr>
        <w:spacing w:after="200"/>
        <w:contextualSpacing/>
        <w:rPr>
          <w:rFonts w:ascii="Century Gothic" w:hAnsi="Century Gothic"/>
          <w:sz w:val="22"/>
          <w:szCs w:val="22"/>
          <w:lang w:val="es-MX"/>
        </w:rPr>
      </w:pPr>
      <w:r>
        <w:rPr>
          <w:rFonts w:ascii="Century Gothic" w:hAnsi="Century Gothic"/>
          <w:sz w:val="22"/>
          <w:szCs w:val="22"/>
          <w:lang w:val="es-MX"/>
        </w:rPr>
        <w:t>Que se use con el fin de obtener provecho o beneficio propio o de terceros.</w:t>
      </w:r>
    </w:p>
    <w:p w14:paraId="32CED8A0">
      <w:pPr>
        <w:pStyle w:val="65"/>
        <w:numPr>
          <w:ilvl w:val="0"/>
          <w:numId w:val="85"/>
        </w:numPr>
        <w:spacing w:after="200"/>
        <w:contextualSpacing/>
        <w:rPr>
          <w:rFonts w:ascii="Century Gothic" w:hAnsi="Century Gothic"/>
          <w:sz w:val="22"/>
          <w:szCs w:val="22"/>
          <w:lang w:val="es-MX"/>
        </w:rPr>
      </w:pPr>
      <w:r>
        <w:rPr>
          <w:rFonts w:ascii="Century Gothic" w:hAnsi="Century Gothic"/>
          <w:sz w:val="22"/>
          <w:szCs w:val="22"/>
          <w:lang w:val="es-MX"/>
        </w:rPr>
        <w:t>Que la oculte en perjuicio de la Entidad o en beneficio o provecho propio o de terceros, lo cual supone usarla solo para sí y por abstención, en perjuicio de la sociedad para estimular beneficio propio o de terceros.</w:t>
      </w:r>
    </w:p>
    <w:p w14:paraId="44593184">
      <w:pPr>
        <w:pStyle w:val="65"/>
        <w:numPr>
          <w:ilvl w:val="0"/>
          <w:numId w:val="85"/>
        </w:numPr>
        <w:spacing w:after="200"/>
        <w:contextualSpacing/>
        <w:rPr>
          <w:rFonts w:ascii="Century Gothic" w:hAnsi="Century Gothic"/>
          <w:sz w:val="22"/>
          <w:szCs w:val="22"/>
          <w:lang w:val="es-MX"/>
        </w:rPr>
      </w:pPr>
      <w:r>
        <w:rPr>
          <w:rFonts w:ascii="Century Gothic" w:hAnsi="Century Gothic"/>
          <w:sz w:val="22"/>
          <w:szCs w:val="22"/>
          <w:lang w:val="es-MX"/>
        </w:rPr>
        <w:t>Que se haga pública en un momento inapropiado.</w:t>
      </w:r>
    </w:p>
    <w:p w14:paraId="2CCD620E">
      <w:pPr>
        <w:pStyle w:val="65"/>
        <w:numPr>
          <w:ilvl w:val="0"/>
          <w:numId w:val="85"/>
        </w:numPr>
        <w:spacing w:after="200"/>
        <w:contextualSpacing/>
        <w:rPr>
          <w:rFonts w:ascii="Century Gothic" w:hAnsi="Century Gothic"/>
          <w:sz w:val="22"/>
          <w:szCs w:val="22"/>
          <w:lang w:val="es-MX"/>
        </w:rPr>
      </w:pPr>
      <w:r>
        <w:rPr>
          <w:rFonts w:ascii="Century Gothic" w:hAnsi="Century Gothic"/>
          <w:sz w:val="22"/>
          <w:szCs w:val="22"/>
          <w:lang w:val="es-MX"/>
        </w:rPr>
        <w:t>Igualmente habrá uso indebido de la información, cuando existiendo la obligación de darla a conocer no se haga pública y la divulgue en un medio cerrado o no se la divulgue de manera alguna.</w:t>
      </w:r>
    </w:p>
    <w:p w14:paraId="5E378967">
      <w:pPr>
        <w:contextualSpacing/>
        <w:rPr>
          <w:rFonts w:ascii="Century Gothic" w:hAnsi="Century Gothic"/>
          <w:sz w:val="22"/>
          <w:szCs w:val="22"/>
          <w:lang w:val="es-MX"/>
        </w:rPr>
      </w:pPr>
      <w:r>
        <w:rPr>
          <w:rFonts w:ascii="Century Gothic" w:hAnsi="Century Gothic"/>
          <w:sz w:val="22"/>
          <w:szCs w:val="22"/>
          <w:lang w:val="es-MX"/>
        </w:rPr>
        <w:t>Salvo en caso, de que la información sea suministrada a las autoridades autorizadas para solicitarlas, ninguna de las áreas o funcionarios de la Entidad podrá dar información a terceros sin el debido consentimiento de la Gerencia. La infracción de esta norma conducirá a las sanciones pertinentes de carácter administrativo so pena de las sanciones de carácter interno, civil y penal a que haya lugar.</w:t>
      </w:r>
    </w:p>
    <w:p w14:paraId="139F17DA">
      <w:pPr>
        <w:contextualSpacing/>
        <w:rPr>
          <w:rFonts w:ascii="Century Gothic" w:hAnsi="Century Gothic"/>
          <w:sz w:val="22"/>
          <w:szCs w:val="22"/>
          <w:lang w:val="es-MX"/>
        </w:rPr>
      </w:pPr>
    </w:p>
    <w:p w14:paraId="5962BB18">
      <w:pPr>
        <w:pStyle w:val="65"/>
        <w:numPr>
          <w:ilvl w:val="1"/>
          <w:numId w:val="56"/>
        </w:numPr>
        <w:contextualSpacing/>
        <w:rPr>
          <w:rFonts w:ascii="Century Gothic" w:hAnsi="Century Gothic"/>
          <w:sz w:val="22"/>
          <w:szCs w:val="22"/>
          <w:lang w:val="es-MX"/>
        </w:rPr>
      </w:pPr>
      <w:r>
        <w:rPr>
          <w:rFonts w:ascii="Century Gothic" w:hAnsi="Century Gothic"/>
          <w:b/>
          <w:sz w:val="22"/>
          <w:szCs w:val="22"/>
          <w:lang w:val="es-MX"/>
        </w:rPr>
        <w:t>INFORMACIÒN RESERVADA.</w:t>
      </w:r>
      <w:r>
        <w:rPr>
          <w:rFonts w:ascii="Century Gothic" w:hAnsi="Century Gothic"/>
          <w:sz w:val="22"/>
          <w:szCs w:val="22"/>
          <w:lang w:val="es-MX"/>
        </w:rPr>
        <w:t xml:space="preserve"> </w:t>
      </w:r>
    </w:p>
    <w:p w14:paraId="3BB06AB3">
      <w:pPr>
        <w:contextualSpacing/>
        <w:rPr>
          <w:rFonts w:ascii="Century Gothic" w:hAnsi="Century Gothic"/>
          <w:sz w:val="22"/>
          <w:szCs w:val="22"/>
          <w:lang w:val="es-MX"/>
        </w:rPr>
      </w:pPr>
    </w:p>
    <w:p w14:paraId="79FA2CD7">
      <w:pPr>
        <w:contextualSpacing/>
        <w:rPr>
          <w:rFonts w:ascii="Century Gothic" w:hAnsi="Century Gothic"/>
          <w:sz w:val="22"/>
          <w:szCs w:val="22"/>
          <w:lang w:val="es-MX"/>
        </w:rPr>
      </w:pPr>
      <w:r>
        <w:rPr>
          <w:rFonts w:ascii="Century Gothic" w:hAnsi="Century Gothic"/>
          <w:sz w:val="22"/>
          <w:szCs w:val="22"/>
          <w:lang w:val="es-MX"/>
        </w:rPr>
        <w:t>Se entiende como información reservada toda aquella que se deriva de las operaciones normales de la Entidad, por lo tanto, todas las personas que trabajan la Entidad deben guardar secreto y proteger la reserva de la información comercial, financiera, económica y administrativa, derivada del objeto social de la entidad de acuerdo a los parámetros establecidos en el Código de Comercio, buscando siempre dar un trato equitativo tanto para asociados, proveedores y público en general que tenga acceso a los servicios ofrecidos por la entidad.</w:t>
      </w:r>
    </w:p>
    <w:p w14:paraId="0D972FD1">
      <w:pPr>
        <w:contextualSpacing/>
        <w:rPr>
          <w:rFonts w:ascii="Century Gothic" w:hAnsi="Century Gothic"/>
          <w:sz w:val="22"/>
          <w:szCs w:val="22"/>
          <w:lang w:val="es-MX"/>
        </w:rPr>
      </w:pPr>
    </w:p>
    <w:p w14:paraId="7C121434">
      <w:pPr>
        <w:contextualSpacing/>
        <w:rPr>
          <w:rFonts w:ascii="Century Gothic" w:hAnsi="Century Gothic"/>
          <w:sz w:val="22"/>
          <w:szCs w:val="22"/>
          <w:lang w:val="es-MX"/>
        </w:rPr>
      </w:pPr>
      <w:r>
        <w:rPr>
          <w:rFonts w:ascii="Century Gothic" w:hAnsi="Century Gothic"/>
          <w:sz w:val="22"/>
          <w:szCs w:val="22"/>
          <w:lang w:val="es-MX"/>
        </w:rPr>
        <w:t>Así mismo, los Directivos y funcionarios de la Entidad deben guardar secreto de las informaciones que recibe de los terceros con quienes inicia conversaciones  de  negociación, para hacer efectivo el derecho fundamental de los ciudadanos  a  su  intimidad, a la confidencialidad, al respecto de la individualidad de la persona,  que  protegen los derechos fundamentales.</w:t>
      </w:r>
    </w:p>
    <w:p w14:paraId="5C9E0055">
      <w:pPr>
        <w:contextualSpacing/>
        <w:rPr>
          <w:rFonts w:ascii="Century Gothic" w:hAnsi="Century Gothic"/>
          <w:sz w:val="22"/>
          <w:szCs w:val="22"/>
          <w:lang w:val="es-MX"/>
        </w:rPr>
      </w:pPr>
    </w:p>
    <w:p w14:paraId="347F9705">
      <w:pPr>
        <w:pStyle w:val="65"/>
        <w:numPr>
          <w:ilvl w:val="1"/>
          <w:numId w:val="8"/>
        </w:numPr>
        <w:contextualSpacing/>
        <w:rPr>
          <w:rFonts w:ascii="Century Gothic" w:hAnsi="Century Gothic"/>
          <w:sz w:val="22"/>
          <w:szCs w:val="22"/>
          <w:lang w:val="es-MX"/>
        </w:rPr>
      </w:pPr>
      <w:r>
        <w:rPr>
          <w:rFonts w:ascii="Century Gothic" w:hAnsi="Century Gothic"/>
          <w:b/>
          <w:sz w:val="22"/>
          <w:szCs w:val="22"/>
          <w:lang w:val="es-MX"/>
        </w:rPr>
        <w:t>CONSIDERACIONES GENERALES Y REGLAMENTACIÓN</w:t>
      </w:r>
      <w:r>
        <w:rPr>
          <w:rFonts w:ascii="Century Gothic" w:hAnsi="Century Gothic"/>
          <w:sz w:val="22"/>
          <w:szCs w:val="22"/>
          <w:lang w:val="es-MX"/>
        </w:rPr>
        <w:t>.</w:t>
      </w:r>
      <w:r>
        <w:rPr>
          <w:rFonts w:ascii="Century Gothic" w:hAnsi="Century Gothic"/>
          <w:sz w:val="22"/>
          <w:szCs w:val="22"/>
          <w:lang w:val="es-MX"/>
        </w:rPr>
        <w:tab/>
      </w:r>
    </w:p>
    <w:p w14:paraId="1DD16200">
      <w:pPr>
        <w:contextualSpacing/>
        <w:rPr>
          <w:rFonts w:ascii="Century Gothic" w:hAnsi="Century Gothic"/>
          <w:sz w:val="22"/>
          <w:szCs w:val="22"/>
          <w:lang w:val="es-MX"/>
        </w:rPr>
      </w:pPr>
    </w:p>
    <w:p w14:paraId="04A962E9">
      <w:pPr>
        <w:contextualSpacing/>
        <w:rPr>
          <w:rFonts w:ascii="Century Gothic" w:hAnsi="Century Gothic"/>
          <w:sz w:val="22"/>
          <w:szCs w:val="22"/>
          <w:lang w:val="es-MX"/>
        </w:rPr>
      </w:pPr>
      <w:r>
        <w:rPr>
          <w:rFonts w:ascii="Century Gothic" w:hAnsi="Century Gothic"/>
          <w:sz w:val="22"/>
          <w:szCs w:val="22"/>
          <w:lang w:val="es-MX"/>
        </w:rPr>
        <w:t>Los Directivos y funcionarios, en desarrollo de sus actividades:</w:t>
      </w:r>
    </w:p>
    <w:p w14:paraId="485AB95F">
      <w:pPr>
        <w:contextualSpacing/>
        <w:rPr>
          <w:rFonts w:ascii="Century Gothic" w:hAnsi="Century Gothic"/>
          <w:sz w:val="22"/>
          <w:szCs w:val="22"/>
          <w:lang w:val="es-MX"/>
        </w:rPr>
      </w:pPr>
    </w:p>
    <w:p w14:paraId="71442E01">
      <w:pPr>
        <w:pStyle w:val="65"/>
        <w:numPr>
          <w:ilvl w:val="0"/>
          <w:numId w:val="86"/>
        </w:numPr>
        <w:spacing w:after="200"/>
        <w:contextualSpacing/>
        <w:rPr>
          <w:rFonts w:ascii="Century Gothic" w:hAnsi="Century Gothic"/>
          <w:sz w:val="22"/>
          <w:szCs w:val="22"/>
          <w:lang w:val="es-MX"/>
        </w:rPr>
      </w:pPr>
      <w:r>
        <w:rPr>
          <w:rFonts w:ascii="Century Gothic" w:hAnsi="Century Gothic"/>
          <w:sz w:val="22"/>
          <w:szCs w:val="22"/>
          <w:lang w:val="es-MX"/>
        </w:rPr>
        <w:t>Ajustarán su conducta en todo momento a las disposiciones y al  espíritu  de este Código.</w:t>
      </w:r>
    </w:p>
    <w:p w14:paraId="5FA5C064">
      <w:pPr>
        <w:pStyle w:val="65"/>
        <w:numPr>
          <w:ilvl w:val="0"/>
          <w:numId w:val="86"/>
        </w:numPr>
        <w:spacing w:after="200"/>
        <w:contextualSpacing/>
        <w:rPr>
          <w:rFonts w:ascii="Century Gothic" w:hAnsi="Century Gothic"/>
          <w:sz w:val="22"/>
          <w:szCs w:val="22"/>
          <w:lang w:val="es-MX"/>
        </w:rPr>
      </w:pPr>
      <w:r>
        <w:rPr>
          <w:rFonts w:ascii="Century Gothic" w:hAnsi="Century Gothic"/>
          <w:sz w:val="22"/>
          <w:szCs w:val="22"/>
          <w:lang w:val="es-MX"/>
        </w:rPr>
        <w:t>Reconocen que es esencial que los funcionarios conozcan y asimilen el  presente Código y conduzcan, bajo cualquier circunstancia, los negocios de manera profesional y bajo los lineamientos que aquí se exponen.</w:t>
      </w:r>
    </w:p>
    <w:p w14:paraId="74D2A90C">
      <w:pPr>
        <w:pStyle w:val="65"/>
        <w:numPr>
          <w:ilvl w:val="0"/>
          <w:numId w:val="86"/>
        </w:numPr>
        <w:spacing w:after="200"/>
        <w:contextualSpacing/>
        <w:rPr>
          <w:rFonts w:ascii="Century Gothic" w:hAnsi="Century Gothic"/>
          <w:sz w:val="22"/>
          <w:szCs w:val="22"/>
          <w:lang w:val="es-MX"/>
        </w:rPr>
      </w:pPr>
      <w:r>
        <w:rPr>
          <w:rFonts w:ascii="Century Gothic" w:hAnsi="Century Gothic"/>
          <w:sz w:val="22"/>
          <w:szCs w:val="22"/>
          <w:lang w:val="es-MX"/>
        </w:rPr>
        <w:t>Guardarán la lealtad y la buena fe, prudencia, diligencia y responsabilidad en  las actividades y funciones que les correspondan en el mantenimiento del más alto nivel de seriedad y reputación de la Entidad ante el mercado. El principio anterior se extiende y se aplica a cada una de  sus  funciones,  responsabilidades y procesos que le son inherentes a sus cargos o que en  virtud de tales actividades le sean delegadas.</w:t>
      </w:r>
    </w:p>
    <w:p w14:paraId="258D8B9A">
      <w:pPr>
        <w:pStyle w:val="65"/>
        <w:spacing w:after="200"/>
        <w:ind w:left="720"/>
        <w:contextualSpacing/>
        <w:rPr>
          <w:rFonts w:ascii="Century Gothic" w:hAnsi="Century Gothic"/>
          <w:sz w:val="22"/>
          <w:szCs w:val="22"/>
          <w:lang w:val="es-MX"/>
        </w:rPr>
      </w:pPr>
    </w:p>
    <w:p w14:paraId="50AC20B4">
      <w:pPr>
        <w:pStyle w:val="65"/>
        <w:numPr>
          <w:ilvl w:val="1"/>
          <w:numId w:val="8"/>
        </w:numPr>
        <w:contextualSpacing/>
        <w:rPr>
          <w:rFonts w:ascii="Century Gothic" w:hAnsi="Century Gothic"/>
          <w:b/>
          <w:sz w:val="22"/>
          <w:szCs w:val="22"/>
          <w:lang w:val="es-MX"/>
        </w:rPr>
      </w:pPr>
      <w:r>
        <w:rPr>
          <w:rFonts w:ascii="Century Gothic" w:hAnsi="Century Gothic"/>
          <w:b/>
          <w:sz w:val="22"/>
          <w:szCs w:val="22"/>
          <w:lang w:val="es-MX"/>
        </w:rPr>
        <w:t xml:space="preserve"> ESTRICTA APLICACIÓN DE LAS NORMAS LEGALES E INTERNAS.</w:t>
      </w:r>
    </w:p>
    <w:p w14:paraId="766F703B">
      <w:pPr>
        <w:contextualSpacing/>
        <w:rPr>
          <w:rFonts w:ascii="Century Gothic" w:hAnsi="Century Gothic"/>
          <w:b/>
          <w:sz w:val="22"/>
          <w:szCs w:val="22"/>
          <w:lang w:val="es-MX"/>
        </w:rPr>
      </w:pPr>
    </w:p>
    <w:p w14:paraId="2C317548">
      <w:pPr>
        <w:contextualSpacing/>
        <w:rPr>
          <w:rFonts w:ascii="Century Gothic" w:hAnsi="Century Gothic"/>
          <w:sz w:val="22"/>
          <w:szCs w:val="22"/>
          <w:lang w:val="es-MX"/>
        </w:rPr>
      </w:pPr>
      <w:r>
        <w:rPr>
          <w:rFonts w:ascii="Century Gothic" w:hAnsi="Century Gothic"/>
          <w:sz w:val="22"/>
          <w:szCs w:val="22"/>
          <w:lang w:val="es-MX"/>
        </w:rPr>
        <w:t>Todas las actividades y operaciones que la Entidad  realice, en desarrollo  de  su  objeto social, estarán basadas en el respeto y acatamiento estricto a la Ley, a las disposiciones de la Superintendencia de la Economía Solidaria o de cualquier otra entidad gubernamental que nos supervise, al Estatuto de la Entidad, a los reglamentos, circulares y comunicaciones, enmarcados dentro de los valores  corporativos  que identifican la institución.</w:t>
      </w:r>
    </w:p>
    <w:p w14:paraId="006D09BA">
      <w:pPr>
        <w:contextualSpacing/>
        <w:rPr>
          <w:rFonts w:ascii="Century Gothic" w:hAnsi="Century Gothic"/>
          <w:sz w:val="22"/>
          <w:szCs w:val="22"/>
          <w:lang w:val="es-MX"/>
        </w:rPr>
      </w:pPr>
    </w:p>
    <w:p w14:paraId="721ACB61">
      <w:pPr>
        <w:contextualSpacing/>
        <w:rPr>
          <w:rFonts w:ascii="Century Gothic" w:hAnsi="Century Gothic"/>
          <w:sz w:val="22"/>
          <w:szCs w:val="22"/>
          <w:lang w:val="es-MX"/>
        </w:rPr>
      </w:pPr>
      <w:r>
        <w:rPr>
          <w:rFonts w:ascii="Century Gothic" w:hAnsi="Century Gothic"/>
          <w:sz w:val="22"/>
          <w:szCs w:val="22"/>
          <w:lang w:val="es-MX"/>
        </w:rPr>
        <w:t>Aunque este código no desarrolla temas legales, es responsabilidad de quien autoriza la operación, como el Gerente, los auxiliares y demás funcionarios adscritos a la estructura organizacional; se debe verificar que las operaciones que se desarrollen, cumplan con  los  requisitos legales aplicables, es decir, que las operaciones o actuaciones se ajusten a la ley.</w:t>
      </w:r>
    </w:p>
    <w:p w14:paraId="08F94BE4">
      <w:pPr>
        <w:contextualSpacing/>
        <w:rPr>
          <w:rFonts w:ascii="Century Gothic" w:hAnsi="Century Gothic"/>
          <w:sz w:val="22"/>
          <w:szCs w:val="22"/>
          <w:lang w:val="es-MX"/>
        </w:rPr>
      </w:pPr>
      <w:r>
        <w:rPr>
          <w:rFonts w:ascii="Century Gothic" w:hAnsi="Century Gothic"/>
          <w:sz w:val="22"/>
          <w:szCs w:val="22"/>
          <w:lang w:val="es-MX"/>
        </w:rPr>
        <w:t xml:space="preserve"> </w:t>
      </w:r>
    </w:p>
    <w:p w14:paraId="5EE12E63">
      <w:pPr>
        <w:pStyle w:val="65"/>
        <w:numPr>
          <w:ilvl w:val="1"/>
          <w:numId w:val="8"/>
        </w:numPr>
        <w:contextualSpacing/>
        <w:rPr>
          <w:rFonts w:ascii="Century Gothic" w:hAnsi="Century Gothic"/>
          <w:sz w:val="22"/>
          <w:szCs w:val="22"/>
          <w:lang w:val="es-MX"/>
        </w:rPr>
      </w:pPr>
      <w:r>
        <w:rPr>
          <w:rFonts w:ascii="Century Gothic" w:hAnsi="Century Gothic"/>
          <w:b/>
          <w:sz w:val="22"/>
          <w:szCs w:val="22"/>
          <w:lang w:val="es-MX"/>
        </w:rPr>
        <w:t xml:space="preserve"> PRINCIPIOS GENERALES.</w:t>
      </w:r>
      <w:r>
        <w:rPr>
          <w:rFonts w:ascii="Century Gothic" w:hAnsi="Century Gothic"/>
          <w:sz w:val="22"/>
          <w:szCs w:val="22"/>
          <w:lang w:val="es-MX"/>
        </w:rPr>
        <w:t xml:space="preserve"> </w:t>
      </w:r>
    </w:p>
    <w:p w14:paraId="7FBD6D85">
      <w:pPr>
        <w:contextualSpacing/>
        <w:rPr>
          <w:rFonts w:ascii="Century Gothic" w:hAnsi="Century Gothic"/>
          <w:sz w:val="22"/>
          <w:szCs w:val="22"/>
          <w:lang w:val="es-MX"/>
        </w:rPr>
      </w:pPr>
    </w:p>
    <w:p w14:paraId="211F7430">
      <w:pPr>
        <w:contextualSpacing/>
        <w:rPr>
          <w:rFonts w:ascii="Century Gothic" w:hAnsi="Century Gothic"/>
          <w:sz w:val="22"/>
          <w:szCs w:val="22"/>
          <w:lang w:val="es-MX"/>
        </w:rPr>
      </w:pPr>
      <w:r>
        <w:rPr>
          <w:rFonts w:ascii="Century Gothic" w:hAnsi="Century Gothic"/>
          <w:sz w:val="22"/>
          <w:szCs w:val="22"/>
          <w:lang w:val="es-MX"/>
        </w:rPr>
        <w:t>El  presente código se expide sobre la base  de preservar y reafirmar los principios básicos de la actividad comercial, administrativa y cooperativa.</w:t>
      </w:r>
    </w:p>
    <w:p w14:paraId="4EB92C6E">
      <w:pPr>
        <w:pStyle w:val="65"/>
        <w:numPr>
          <w:ilvl w:val="0"/>
          <w:numId w:val="87"/>
        </w:numPr>
        <w:spacing w:after="200"/>
        <w:contextualSpacing/>
        <w:rPr>
          <w:rFonts w:ascii="Century Gothic" w:hAnsi="Century Gothic"/>
          <w:sz w:val="22"/>
          <w:szCs w:val="22"/>
          <w:lang w:val="es-MX"/>
        </w:rPr>
      </w:pPr>
      <w:r>
        <w:rPr>
          <w:rFonts w:ascii="Century Gothic" w:hAnsi="Century Gothic"/>
          <w:sz w:val="22"/>
          <w:szCs w:val="22"/>
          <w:lang w:val="es-MX"/>
        </w:rPr>
        <w:t>Conducir los negocios con lealtad, claridad, seguridad, precisión, probidad comercial, seriedad y cumplimiento, en el mejor interés por los asociados y proveedores y la integridad del mercado.</w:t>
      </w:r>
    </w:p>
    <w:p w14:paraId="30EA4D61">
      <w:pPr>
        <w:pStyle w:val="65"/>
        <w:numPr>
          <w:ilvl w:val="0"/>
          <w:numId w:val="87"/>
        </w:numPr>
        <w:spacing w:after="200"/>
        <w:contextualSpacing/>
        <w:rPr>
          <w:rFonts w:ascii="Century Gothic" w:hAnsi="Century Gothic"/>
          <w:sz w:val="22"/>
          <w:szCs w:val="22"/>
          <w:lang w:val="es-MX"/>
        </w:rPr>
      </w:pPr>
      <w:r>
        <w:rPr>
          <w:rFonts w:ascii="Century Gothic" w:hAnsi="Century Gothic"/>
          <w:sz w:val="22"/>
          <w:szCs w:val="22"/>
          <w:lang w:val="es-MX"/>
        </w:rPr>
        <w:t>Observar con debida diligencia la recepción, captura  de  datos,  análisis, aprobación, seguimiento y en general operaciones propias de las actividades que desarrolla la Entidad dentro de su objeto social.</w:t>
      </w:r>
    </w:p>
    <w:p w14:paraId="27A75EC7">
      <w:pPr>
        <w:pStyle w:val="65"/>
        <w:numPr>
          <w:ilvl w:val="0"/>
          <w:numId w:val="87"/>
        </w:numPr>
        <w:spacing w:after="200"/>
        <w:contextualSpacing/>
        <w:rPr>
          <w:rFonts w:ascii="Century Gothic" w:hAnsi="Century Gothic"/>
          <w:sz w:val="22"/>
          <w:szCs w:val="22"/>
          <w:lang w:val="es-MX"/>
        </w:rPr>
      </w:pPr>
      <w:r>
        <w:rPr>
          <w:rFonts w:ascii="Century Gothic" w:hAnsi="Century Gothic"/>
          <w:sz w:val="22"/>
          <w:szCs w:val="22"/>
          <w:lang w:val="es-MX"/>
        </w:rPr>
        <w:t>Procurar la capacitación y profesionalismo de los Directivos, del Gerente y demás funcionarios de la estructura Organizacional.</w:t>
      </w:r>
    </w:p>
    <w:p w14:paraId="5AEBB848">
      <w:pPr>
        <w:pStyle w:val="65"/>
        <w:numPr>
          <w:ilvl w:val="0"/>
          <w:numId w:val="87"/>
        </w:numPr>
        <w:spacing w:after="200"/>
        <w:contextualSpacing/>
        <w:rPr>
          <w:rFonts w:ascii="Century Gothic" w:hAnsi="Century Gothic"/>
          <w:sz w:val="22"/>
          <w:szCs w:val="22"/>
          <w:lang w:val="es-MX"/>
        </w:rPr>
      </w:pPr>
      <w:r>
        <w:rPr>
          <w:rFonts w:ascii="Century Gothic" w:hAnsi="Century Gothic"/>
          <w:sz w:val="22"/>
          <w:szCs w:val="22"/>
          <w:lang w:val="es-MX"/>
        </w:rPr>
        <w:t>Obtener y suministrar a los asociados y proveedores la información relevante para  la realización de las diferentes operaciones; así como, entregarles oportunamente  la documentación necesaria para la transparencia de la operación.</w:t>
      </w:r>
    </w:p>
    <w:p w14:paraId="200980A5">
      <w:pPr>
        <w:pStyle w:val="65"/>
        <w:numPr>
          <w:ilvl w:val="0"/>
          <w:numId w:val="87"/>
        </w:numPr>
        <w:spacing w:after="200"/>
        <w:contextualSpacing/>
        <w:rPr>
          <w:rFonts w:ascii="Century Gothic" w:hAnsi="Century Gothic"/>
          <w:sz w:val="22"/>
          <w:szCs w:val="22"/>
          <w:lang w:val="es-MX"/>
        </w:rPr>
      </w:pPr>
      <w:r>
        <w:rPr>
          <w:rFonts w:ascii="Century Gothic" w:hAnsi="Century Gothic"/>
          <w:sz w:val="22"/>
          <w:szCs w:val="22"/>
          <w:lang w:val="es-MX"/>
        </w:rPr>
        <w:t>Evitar los conflictos de interés y asegurar un tratamiento equitativo  a  sus  asociados y proveedores, obrando de buena fe y diligencia en el desarrollo de su gestión.</w:t>
      </w:r>
    </w:p>
    <w:p w14:paraId="3DF18018">
      <w:pPr>
        <w:pStyle w:val="65"/>
        <w:numPr>
          <w:ilvl w:val="0"/>
          <w:numId w:val="87"/>
        </w:numPr>
        <w:spacing w:after="200"/>
        <w:contextualSpacing/>
        <w:rPr>
          <w:rFonts w:ascii="Century Gothic" w:hAnsi="Century Gothic"/>
          <w:sz w:val="22"/>
          <w:szCs w:val="22"/>
          <w:lang w:val="es-MX"/>
        </w:rPr>
      </w:pPr>
      <w:r>
        <w:rPr>
          <w:rFonts w:ascii="Century Gothic" w:hAnsi="Century Gothic"/>
          <w:sz w:val="22"/>
          <w:szCs w:val="22"/>
          <w:lang w:val="es-MX"/>
        </w:rPr>
        <w:t>Abstenerse de realizar operaciones, directamente o por interpuesta persona, utilizando información privilegiada.</w:t>
      </w:r>
    </w:p>
    <w:p w14:paraId="4C1856C5">
      <w:pPr>
        <w:pStyle w:val="65"/>
        <w:spacing w:after="200"/>
        <w:ind w:left="502"/>
        <w:contextualSpacing/>
        <w:rPr>
          <w:rFonts w:ascii="Century Gothic" w:hAnsi="Century Gothic"/>
          <w:sz w:val="22"/>
          <w:szCs w:val="22"/>
          <w:lang w:val="es-MX"/>
        </w:rPr>
      </w:pPr>
    </w:p>
    <w:p w14:paraId="3120D050">
      <w:pPr>
        <w:pStyle w:val="65"/>
        <w:numPr>
          <w:ilvl w:val="1"/>
          <w:numId w:val="8"/>
        </w:numPr>
        <w:contextualSpacing/>
        <w:rPr>
          <w:rFonts w:ascii="Century Gothic" w:hAnsi="Century Gothic"/>
          <w:b/>
          <w:sz w:val="22"/>
          <w:szCs w:val="22"/>
          <w:lang w:val="es-MX"/>
        </w:rPr>
      </w:pPr>
      <w:r>
        <w:rPr>
          <w:rFonts w:ascii="Century Gothic" w:hAnsi="Century Gothic"/>
          <w:b/>
          <w:sz w:val="22"/>
          <w:szCs w:val="22"/>
          <w:lang w:val="es-MX"/>
        </w:rPr>
        <w:t xml:space="preserve"> PAUTAS DE COMPORTAMIENTO.</w:t>
      </w:r>
    </w:p>
    <w:p w14:paraId="52E44C27">
      <w:pPr>
        <w:contextualSpacing/>
        <w:rPr>
          <w:rFonts w:ascii="Century Gothic" w:hAnsi="Century Gothic"/>
          <w:sz w:val="22"/>
          <w:szCs w:val="22"/>
          <w:lang w:val="es-MX"/>
        </w:rPr>
      </w:pPr>
    </w:p>
    <w:p w14:paraId="1B4A4BC3">
      <w:pPr>
        <w:contextualSpacing/>
        <w:rPr>
          <w:rFonts w:ascii="Century Gothic" w:hAnsi="Century Gothic"/>
          <w:sz w:val="22"/>
          <w:szCs w:val="22"/>
          <w:lang w:val="es-MX"/>
        </w:rPr>
      </w:pPr>
      <w:r>
        <w:rPr>
          <w:rFonts w:ascii="Century Gothic" w:hAnsi="Century Gothic"/>
          <w:sz w:val="22"/>
          <w:szCs w:val="22"/>
          <w:lang w:val="es-MX"/>
        </w:rPr>
        <w:t>Estas pautas de comportamiento  deben regir la conducta de los funcionarios de la Entidad, dentro y fuera de ella, buscando que los mismos, cumplan con los deberes legales, contractuales y morales, con miras a conservar la confianza del público y como fundamento de una sana actividad.</w:t>
      </w:r>
    </w:p>
    <w:p w14:paraId="0C493848">
      <w:pPr>
        <w:contextualSpacing/>
        <w:rPr>
          <w:rFonts w:ascii="Century Gothic" w:hAnsi="Century Gothic"/>
          <w:sz w:val="22"/>
          <w:szCs w:val="22"/>
          <w:lang w:val="es-MX"/>
        </w:rPr>
      </w:pPr>
    </w:p>
    <w:p w14:paraId="7000DDB9">
      <w:pPr>
        <w:contextualSpacing/>
        <w:rPr>
          <w:rFonts w:ascii="Century Gothic" w:hAnsi="Century Gothic"/>
          <w:sz w:val="22"/>
          <w:szCs w:val="22"/>
          <w:lang w:val="es-MX"/>
        </w:rPr>
      </w:pPr>
      <w:r>
        <w:rPr>
          <w:rFonts w:ascii="Century Gothic" w:hAnsi="Century Gothic"/>
          <w:sz w:val="22"/>
          <w:szCs w:val="22"/>
          <w:lang w:val="es-MX"/>
        </w:rPr>
        <w:t>A continuación se dan a conocer algunas pautas de comportamiento ético para los directivos y funcionarios de la Entidad:</w:t>
      </w:r>
    </w:p>
    <w:p w14:paraId="74CBE644">
      <w:pPr>
        <w:contextualSpacing/>
        <w:rPr>
          <w:rFonts w:ascii="Century Gothic" w:hAnsi="Century Gothic"/>
          <w:sz w:val="22"/>
          <w:szCs w:val="22"/>
          <w:lang w:val="es-MX"/>
        </w:rPr>
      </w:pPr>
    </w:p>
    <w:p w14:paraId="6C46EB8E">
      <w:pPr>
        <w:pStyle w:val="65"/>
        <w:numPr>
          <w:ilvl w:val="1"/>
          <w:numId w:val="88"/>
        </w:numPr>
        <w:spacing w:after="200"/>
        <w:contextualSpacing/>
        <w:rPr>
          <w:rFonts w:ascii="Century Gothic" w:hAnsi="Century Gothic"/>
          <w:b/>
          <w:sz w:val="22"/>
          <w:szCs w:val="22"/>
          <w:lang w:val="es-MX"/>
        </w:rPr>
      </w:pPr>
      <w:r>
        <w:rPr>
          <w:rFonts w:ascii="Century Gothic" w:hAnsi="Century Gothic"/>
          <w:b/>
          <w:sz w:val="22"/>
          <w:szCs w:val="22"/>
          <w:lang w:val="es-MX"/>
        </w:rPr>
        <w:t>Frente a la Entidad</w:t>
      </w:r>
    </w:p>
    <w:p w14:paraId="77C78F68">
      <w:pPr>
        <w:pStyle w:val="65"/>
        <w:ind w:left="644"/>
        <w:rPr>
          <w:rFonts w:ascii="Century Gothic" w:hAnsi="Century Gothic"/>
          <w:b/>
          <w:sz w:val="22"/>
          <w:szCs w:val="22"/>
          <w:lang w:val="es-MX"/>
        </w:rPr>
      </w:pPr>
    </w:p>
    <w:p w14:paraId="3DD58D7B">
      <w:pPr>
        <w:pStyle w:val="65"/>
        <w:numPr>
          <w:ilvl w:val="0"/>
          <w:numId w:val="89"/>
        </w:numPr>
        <w:spacing w:after="200"/>
        <w:contextualSpacing/>
        <w:rPr>
          <w:rFonts w:ascii="Century Gothic" w:hAnsi="Century Gothic"/>
          <w:sz w:val="22"/>
          <w:szCs w:val="22"/>
          <w:lang w:val="es-MX"/>
        </w:rPr>
      </w:pPr>
      <w:r>
        <w:rPr>
          <w:rFonts w:ascii="Century Gothic" w:hAnsi="Century Gothic"/>
          <w:sz w:val="22"/>
          <w:szCs w:val="22"/>
          <w:lang w:val="es-MX"/>
        </w:rPr>
        <w:t>Desarrollar sus labores y funciones procurando en todo momento proteger los intereses de la institución, los asociados y los usuarios, con diligencia, buena fe y lealtad.</w:t>
      </w:r>
    </w:p>
    <w:p w14:paraId="44A17589">
      <w:pPr>
        <w:pStyle w:val="65"/>
        <w:numPr>
          <w:ilvl w:val="0"/>
          <w:numId w:val="89"/>
        </w:numPr>
        <w:spacing w:after="200"/>
        <w:contextualSpacing/>
        <w:rPr>
          <w:rFonts w:ascii="Century Gothic" w:hAnsi="Century Gothic"/>
          <w:sz w:val="22"/>
          <w:szCs w:val="22"/>
          <w:lang w:val="es-MX"/>
        </w:rPr>
      </w:pPr>
      <w:r>
        <w:rPr>
          <w:rFonts w:ascii="Century Gothic" w:hAnsi="Century Gothic"/>
          <w:sz w:val="22"/>
          <w:szCs w:val="22"/>
          <w:lang w:val="es-MX"/>
        </w:rPr>
        <w:t>Reflejar la verdad de las transacciones financieras y comerciales en los libros, cuentas, informes o certificaciones expedidas por la Entidad, en cada una de las transacciones activas, pasivas y patrimoniales, así como las inherentes a los ingresos, costos y gastos; de tal forma que la información refleje la realidad económica y financiera de la Entidad.</w:t>
      </w:r>
    </w:p>
    <w:p w14:paraId="0126D80C">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Velar porque los beneficios en materia de servicios y productos que obtenga un directivo o funcionario de la Entidad, no sean superiores en naturaleza, condiciones o montos a los que pueda recibir cualquier  asociado  de  la Entidad.</w:t>
      </w:r>
    </w:p>
    <w:p w14:paraId="4A3AFE94">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Velar porque todas las operaciones económicas o financieras que realice la Entidad, sean registradas en forma fidedigna en la contabilidad, por los montos exactos del hecho económico y con la identificación real de la persona o empresa con la cual ella se realice. Se advierte que son contrarios al comportamiento ético, operaciones de sobreestimen o subvaloren las cifras, o la utilización de nombres ficticios, documentos sin el lleno de los requisitos de ley, entre otros.</w:t>
      </w:r>
    </w:p>
    <w:p w14:paraId="544552C6">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Cumplir oportunamente y en los montos con las obligaciones crediticias que adquieran con la entidad.</w:t>
      </w:r>
    </w:p>
    <w:p w14:paraId="02856786">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Considerar como conducta inadecuada que un directivo o funcionario de la Entidad, utilice su posición para obtener tratamiento comercial favorable a empresas en las cuales, él o sus familiares, tengan interés.</w:t>
      </w:r>
    </w:p>
    <w:p w14:paraId="52E1413E">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Abstenerse de participar en decisiones en la cual exista un conflicto entre los intereses de la Entidad y los suyos propios o de sus familiares. Cuando esta situación se presente, deberá informarse a las instancias pertinentes, si  es  del caso, retirarse del recinto donde se toma la decisión y hacer la correspondiente salvedad de voto.</w:t>
      </w:r>
    </w:p>
    <w:p w14:paraId="2690BEE5">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No obtener beneficio personal del aprovechamiento de la información que obtenga como resultado de su posición.</w:t>
      </w:r>
    </w:p>
    <w:p w14:paraId="19F819BB">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Ningún directivo o funcionario de la Entidad propiciará comportamientos corruptos. En consecuencia no se entregará dinero o realizarán favores o  prebendas personales a funcionarios que tengan como propósito influir en las decisiones en las cuales la entidad o el funcionario tenga interés.</w:t>
      </w:r>
    </w:p>
    <w:p w14:paraId="5DFFD9CC">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Realizar las actividades que se desarrollen en la Entidad, en completo acatamiento a las normas legales, es decir ajustado al marco de las normas estatales, así como las propias de la entidad.</w:t>
      </w:r>
    </w:p>
    <w:p w14:paraId="3B535029">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Actualizar los datos personales, laborales, familiares y comerciales por  lo menos una vez al año o cuando la entidad lo requiera.</w:t>
      </w:r>
    </w:p>
    <w:p w14:paraId="063701B3">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El manejo de información es de carácter confidencial y corresponde a todos los directivos y colaboradores mantener la honestidad y la  integridad  en  su manejo, sin usarla en ningún caso para su propio beneficio o el beneficio de terceros.</w:t>
      </w:r>
    </w:p>
    <w:p w14:paraId="0748EA7A">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Abstenerse de utilizar información privilegiada.</w:t>
      </w:r>
    </w:p>
    <w:p w14:paraId="1357F183">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Abstenerse de realizar actos que impliquen conflictos de interés.</w:t>
      </w:r>
    </w:p>
    <w:p w14:paraId="2FD8E1FE">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Fomentar la investigación para el mejoramiento, desarrollo empresarial y el crecimiento y afianzamiento de la entidad.</w:t>
      </w:r>
    </w:p>
    <w:p w14:paraId="2E6297FA">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Actuar siempre de acuerdo con los principios y valores de la entidad.</w:t>
      </w:r>
    </w:p>
    <w:p w14:paraId="176D2F55">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Todos los empleados deben propender por el trabajo en equipo, con sentido de pertenencia, siendo protagonista de su propio desarrollo personal y compartiendo las aspiraciones de La Entidad.</w:t>
      </w:r>
    </w:p>
    <w:p w14:paraId="52BD9DBB">
      <w:pPr>
        <w:pStyle w:val="65"/>
        <w:numPr>
          <w:ilvl w:val="0"/>
          <w:numId w:val="89"/>
        </w:numPr>
        <w:spacing w:after="200"/>
        <w:contextualSpacing/>
        <w:rPr>
          <w:rFonts w:ascii="Century Gothic" w:hAnsi="Century Gothic"/>
          <w:b/>
          <w:sz w:val="22"/>
          <w:szCs w:val="22"/>
          <w:lang w:val="es-MX"/>
        </w:rPr>
      </w:pPr>
      <w:r>
        <w:rPr>
          <w:rFonts w:ascii="Century Gothic" w:hAnsi="Century Gothic"/>
          <w:sz w:val="22"/>
          <w:szCs w:val="22"/>
          <w:lang w:val="es-MX"/>
        </w:rPr>
        <w:t>El Gerente y demás funcionarios de La Entidad son responsables del conocimiento y seguimiento a la idoneidad  de  sus asociados, así como a las actividades que desarrolla el mismo.</w:t>
      </w:r>
    </w:p>
    <w:p w14:paraId="4F58DE35">
      <w:pPr>
        <w:pStyle w:val="65"/>
        <w:numPr>
          <w:ilvl w:val="0"/>
          <w:numId w:val="89"/>
        </w:numPr>
        <w:spacing w:after="200"/>
        <w:contextualSpacing/>
        <w:rPr>
          <w:rFonts w:ascii="Century Gothic" w:hAnsi="Century Gothic"/>
          <w:sz w:val="22"/>
          <w:szCs w:val="22"/>
          <w:lang w:val="es-MX"/>
        </w:rPr>
      </w:pPr>
      <w:r>
        <w:rPr>
          <w:rFonts w:ascii="Century Gothic" w:hAnsi="Century Gothic"/>
          <w:sz w:val="22"/>
          <w:szCs w:val="22"/>
          <w:lang w:val="es-MX"/>
        </w:rPr>
        <w:t>Los funcionarios son responsables de informar a su superior inmediato cualquier actividad o transacción que se presuma como inusual o sospechosa por parte de los asociados, proveedores, compañeros de trabajo u otra persona natural  o  jurídica que tenga algún tipo de relación comercial con la Entidad.</w:t>
      </w:r>
    </w:p>
    <w:p w14:paraId="1F5177D7">
      <w:pPr>
        <w:pStyle w:val="65"/>
        <w:numPr>
          <w:ilvl w:val="0"/>
          <w:numId w:val="89"/>
        </w:numPr>
        <w:spacing w:after="200"/>
        <w:contextualSpacing/>
        <w:rPr>
          <w:rFonts w:ascii="Century Gothic" w:hAnsi="Century Gothic"/>
          <w:sz w:val="22"/>
          <w:szCs w:val="22"/>
          <w:lang w:val="es-MX"/>
        </w:rPr>
      </w:pPr>
      <w:r>
        <w:rPr>
          <w:rFonts w:ascii="Century Gothic" w:hAnsi="Century Gothic"/>
          <w:sz w:val="22"/>
          <w:szCs w:val="22"/>
          <w:lang w:val="es-MX"/>
        </w:rPr>
        <w:t>Toda persona vinculada con la Entidad tiene el deber de prestar toda la colaboración posible en caso de siniestro o riesgo inminente que  afecte  o  amenace las personas o los bienes de la Entidad.</w:t>
      </w:r>
    </w:p>
    <w:p w14:paraId="2AEE4AE1">
      <w:pPr>
        <w:pStyle w:val="65"/>
        <w:numPr>
          <w:ilvl w:val="1"/>
          <w:numId w:val="88"/>
        </w:numPr>
        <w:spacing w:after="200"/>
        <w:contextualSpacing/>
        <w:rPr>
          <w:rFonts w:ascii="Century Gothic" w:hAnsi="Century Gothic"/>
          <w:b/>
          <w:sz w:val="22"/>
          <w:szCs w:val="22"/>
          <w:lang w:val="es-MX"/>
        </w:rPr>
      </w:pPr>
      <w:r>
        <w:rPr>
          <w:rFonts w:ascii="Century Gothic" w:hAnsi="Century Gothic"/>
          <w:b/>
          <w:sz w:val="22"/>
          <w:szCs w:val="22"/>
          <w:lang w:val="es-MX"/>
        </w:rPr>
        <w:t>Frente al Estado</w:t>
      </w:r>
    </w:p>
    <w:p w14:paraId="12BB6352">
      <w:pPr>
        <w:pStyle w:val="65"/>
        <w:ind w:left="644"/>
        <w:rPr>
          <w:rFonts w:ascii="Century Gothic" w:hAnsi="Century Gothic"/>
          <w:b/>
          <w:sz w:val="22"/>
          <w:szCs w:val="22"/>
          <w:lang w:val="es-MX"/>
        </w:rPr>
      </w:pPr>
    </w:p>
    <w:p w14:paraId="39DE0280">
      <w:pPr>
        <w:pStyle w:val="65"/>
        <w:numPr>
          <w:ilvl w:val="0"/>
          <w:numId w:val="90"/>
        </w:numPr>
        <w:spacing w:after="200"/>
        <w:contextualSpacing/>
        <w:rPr>
          <w:rFonts w:ascii="Century Gothic" w:hAnsi="Century Gothic"/>
          <w:sz w:val="22"/>
          <w:szCs w:val="22"/>
          <w:lang w:val="es-MX"/>
        </w:rPr>
      </w:pPr>
      <w:r>
        <w:rPr>
          <w:rFonts w:ascii="Century Gothic" w:hAnsi="Century Gothic"/>
          <w:sz w:val="22"/>
          <w:szCs w:val="22"/>
          <w:lang w:val="es-MX"/>
        </w:rPr>
        <w:t>Colaborar con las autoridades en la recta aplicación de las normas de todo tipo que emita el Estado.</w:t>
      </w:r>
    </w:p>
    <w:p w14:paraId="1512CDCE">
      <w:pPr>
        <w:pStyle w:val="65"/>
        <w:numPr>
          <w:ilvl w:val="0"/>
          <w:numId w:val="90"/>
        </w:numPr>
        <w:spacing w:after="200"/>
        <w:contextualSpacing/>
        <w:rPr>
          <w:rFonts w:ascii="Century Gothic" w:hAnsi="Century Gothic"/>
          <w:sz w:val="22"/>
          <w:szCs w:val="22"/>
          <w:lang w:val="es-MX"/>
        </w:rPr>
      </w:pPr>
      <w:r>
        <w:rPr>
          <w:rFonts w:ascii="Century Gothic" w:hAnsi="Century Gothic"/>
          <w:sz w:val="22"/>
          <w:szCs w:val="22"/>
          <w:lang w:val="es-MX"/>
        </w:rPr>
        <w:t>Acatar y cumplir las leyes, Decretos y demás disposiciones legales.</w:t>
      </w:r>
    </w:p>
    <w:p w14:paraId="0D6E217E">
      <w:pPr>
        <w:pStyle w:val="65"/>
        <w:numPr>
          <w:ilvl w:val="0"/>
          <w:numId w:val="90"/>
        </w:numPr>
        <w:spacing w:after="200"/>
        <w:contextualSpacing/>
        <w:rPr>
          <w:rFonts w:ascii="Century Gothic" w:hAnsi="Century Gothic"/>
          <w:sz w:val="22"/>
          <w:szCs w:val="22"/>
          <w:lang w:val="es-MX"/>
        </w:rPr>
      </w:pPr>
      <w:r>
        <w:rPr>
          <w:rFonts w:ascii="Century Gothic" w:hAnsi="Century Gothic"/>
          <w:sz w:val="22"/>
          <w:szCs w:val="22"/>
          <w:lang w:val="es-MX"/>
        </w:rPr>
        <w:t>Abstenerse de realizar convenios o actos comerciales con personas que se encuentren al margen de la ley.</w:t>
      </w:r>
    </w:p>
    <w:p w14:paraId="5507A774">
      <w:pPr>
        <w:pStyle w:val="65"/>
        <w:numPr>
          <w:ilvl w:val="0"/>
          <w:numId w:val="90"/>
        </w:numPr>
        <w:spacing w:after="200"/>
        <w:contextualSpacing/>
        <w:rPr>
          <w:rFonts w:ascii="Century Gothic" w:hAnsi="Century Gothic"/>
          <w:sz w:val="22"/>
          <w:szCs w:val="22"/>
          <w:lang w:val="es-MX"/>
        </w:rPr>
      </w:pPr>
      <w:r>
        <w:rPr>
          <w:rFonts w:ascii="Century Gothic" w:hAnsi="Century Gothic"/>
          <w:sz w:val="22"/>
          <w:szCs w:val="22"/>
          <w:lang w:val="es-MX"/>
        </w:rPr>
        <w:t>Denunciar la corrupción en cualquier momento en que se descubra.</w:t>
      </w:r>
    </w:p>
    <w:p w14:paraId="21AFEE53">
      <w:pPr>
        <w:pStyle w:val="65"/>
        <w:numPr>
          <w:ilvl w:val="0"/>
          <w:numId w:val="90"/>
        </w:numPr>
        <w:spacing w:after="200"/>
        <w:contextualSpacing/>
        <w:rPr>
          <w:rFonts w:ascii="Century Gothic" w:hAnsi="Century Gothic"/>
          <w:sz w:val="22"/>
          <w:szCs w:val="22"/>
          <w:lang w:val="es-MX"/>
        </w:rPr>
      </w:pPr>
      <w:r>
        <w:rPr>
          <w:rFonts w:ascii="Century Gothic" w:hAnsi="Century Gothic"/>
          <w:sz w:val="22"/>
          <w:szCs w:val="22"/>
          <w:lang w:val="es-MX"/>
        </w:rPr>
        <w:t>Presentar los informes de control que el Estado disponga en el control de lavado de activos y financiamiento de actividades terroristas.</w:t>
      </w:r>
    </w:p>
    <w:p w14:paraId="7556B02E">
      <w:pPr>
        <w:pStyle w:val="65"/>
        <w:numPr>
          <w:ilvl w:val="0"/>
          <w:numId w:val="90"/>
        </w:numPr>
        <w:spacing w:after="200"/>
        <w:contextualSpacing/>
        <w:rPr>
          <w:rFonts w:ascii="Century Gothic" w:hAnsi="Century Gothic"/>
          <w:sz w:val="22"/>
          <w:szCs w:val="22"/>
          <w:lang w:val="es-MX"/>
        </w:rPr>
      </w:pPr>
      <w:r>
        <w:rPr>
          <w:rFonts w:ascii="Century Gothic" w:hAnsi="Century Gothic"/>
          <w:sz w:val="22"/>
          <w:szCs w:val="22"/>
          <w:lang w:val="es-MX"/>
        </w:rPr>
        <w:t>Entregar oportunamente y en los términos exigidos, los informes requeridos por la Superintendencia de la Economía Solidaria, y demás instancias estatales y privadas, a las cuales se requiera entregar información.</w:t>
      </w:r>
    </w:p>
    <w:p w14:paraId="19B1C03C">
      <w:pPr>
        <w:pStyle w:val="65"/>
        <w:numPr>
          <w:ilvl w:val="0"/>
          <w:numId w:val="90"/>
        </w:numPr>
        <w:spacing w:after="200"/>
        <w:contextualSpacing/>
        <w:rPr>
          <w:rFonts w:ascii="Century Gothic" w:hAnsi="Century Gothic"/>
          <w:sz w:val="22"/>
          <w:szCs w:val="22"/>
          <w:lang w:val="es-MX"/>
        </w:rPr>
      </w:pPr>
      <w:r>
        <w:rPr>
          <w:rFonts w:ascii="Century Gothic" w:hAnsi="Century Gothic"/>
          <w:sz w:val="22"/>
          <w:szCs w:val="22"/>
          <w:lang w:val="es-MX"/>
        </w:rPr>
        <w:t>Atender apropiadamente y en forma oportuna con los compromisos fiscales que imponga el estado.</w:t>
      </w:r>
    </w:p>
    <w:p w14:paraId="53288A73">
      <w:pPr>
        <w:pStyle w:val="65"/>
        <w:ind w:left="1004"/>
        <w:rPr>
          <w:rFonts w:ascii="Century Gothic" w:hAnsi="Century Gothic"/>
          <w:sz w:val="22"/>
          <w:szCs w:val="22"/>
          <w:lang w:val="es-MX"/>
        </w:rPr>
      </w:pPr>
    </w:p>
    <w:p w14:paraId="555430A6">
      <w:pPr>
        <w:pStyle w:val="65"/>
        <w:numPr>
          <w:ilvl w:val="1"/>
          <w:numId w:val="88"/>
        </w:numPr>
        <w:spacing w:after="200"/>
        <w:contextualSpacing/>
        <w:rPr>
          <w:rFonts w:ascii="Century Gothic" w:hAnsi="Century Gothic"/>
          <w:b/>
          <w:sz w:val="22"/>
          <w:szCs w:val="22"/>
          <w:lang w:val="es-MX"/>
        </w:rPr>
      </w:pPr>
      <w:r>
        <w:rPr>
          <w:rFonts w:ascii="Century Gothic" w:hAnsi="Century Gothic"/>
          <w:b/>
          <w:sz w:val="22"/>
          <w:szCs w:val="22"/>
          <w:lang w:val="es-MX"/>
        </w:rPr>
        <w:t>Frente a los Asociados</w:t>
      </w:r>
    </w:p>
    <w:p w14:paraId="19DB261A">
      <w:pPr>
        <w:pStyle w:val="65"/>
        <w:ind w:left="644"/>
        <w:rPr>
          <w:rFonts w:ascii="Century Gothic" w:hAnsi="Century Gothic"/>
          <w:b/>
          <w:sz w:val="22"/>
          <w:szCs w:val="22"/>
          <w:lang w:val="es-MX"/>
        </w:rPr>
      </w:pPr>
    </w:p>
    <w:p w14:paraId="0751661A">
      <w:pPr>
        <w:pStyle w:val="65"/>
        <w:numPr>
          <w:ilvl w:val="0"/>
          <w:numId w:val="91"/>
        </w:numPr>
        <w:spacing w:after="200"/>
        <w:contextualSpacing/>
        <w:rPr>
          <w:rFonts w:ascii="Century Gothic" w:hAnsi="Century Gothic"/>
          <w:sz w:val="22"/>
          <w:szCs w:val="22"/>
          <w:lang w:val="es-MX"/>
        </w:rPr>
      </w:pPr>
      <w:r>
        <w:rPr>
          <w:rFonts w:ascii="Century Gothic" w:hAnsi="Century Gothic"/>
          <w:sz w:val="22"/>
          <w:szCs w:val="22"/>
          <w:lang w:val="es-MX"/>
        </w:rPr>
        <w:t>Abstenerse de realizar en forma fraudulenta actos que menoscaben el patrimonio de la empresa en beneficio de terceros.</w:t>
      </w:r>
    </w:p>
    <w:p w14:paraId="58C69ED4">
      <w:pPr>
        <w:pStyle w:val="65"/>
        <w:numPr>
          <w:ilvl w:val="0"/>
          <w:numId w:val="91"/>
        </w:numPr>
        <w:spacing w:after="200"/>
        <w:contextualSpacing/>
        <w:rPr>
          <w:rFonts w:ascii="Century Gothic" w:hAnsi="Century Gothic"/>
          <w:sz w:val="22"/>
          <w:szCs w:val="22"/>
          <w:lang w:val="es-MX"/>
        </w:rPr>
      </w:pPr>
      <w:r>
        <w:rPr>
          <w:rFonts w:ascii="Century Gothic" w:hAnsi="Century Gothic"/>
          <w:sz w:val="22"/>
          <w:szCs w:val="22"/>
          <w:lang w:val="es-MX"/>
        </w:rPr>
        <w:t>Abstenerse de recibir obsequios y atenciones o hacer favores que comprometan la Entidad, en la ejecución  de actos que  sean contrarios a la Ley, las políticas y disposiciones internas.</w:t>
      </w:r>
    </w:p>
    <w:p w14:paraId="56C80B5F">
      <w:pPr>
        <w:pStyle w:val="65"/>
        <w:numPr>
          <w:ilvl w:val="0"/>
          <w:numId w:val="91"/>
        </w:numPr>
        <w:spacing w:after="200"/>
        <w:contextualSpacing/>
        <w:rPr>
          <w:rFonts w:ascii="Century Gothic" w:hAnsi="Century Gothic"/>
          <w:sz w:val="22"/>
          <w:szCs w:val="22"/>
          <w:lang w:val="es-MX"/>
        </w:rPr>
      </w:pPr>
      <w:r>
        <w:rPr>
          <w:rFonts w:ascii="Century Gothic" w:hAnsi="Century Gothic"/>
          <w:sz w:val="22"/>
          <w:szCs w:val="22"/>
          <w:lang w:val="es-MX"/>
        </w:rPr>
        <w:t>Ofertar productos y servicios conforme lo establecen los reglamentos y normas internas, procurando en todo momento que exista información clara y transparente en beneficio de la institución y los asociados.</w:t>
      </w:r>
    </w:p>
    <w:p w14:paraId="53692BFA">
      <w:pPr>
        <w:pStyle w:val="65"/>
        <w:numPr>
          <w:ilvl w:val="0"/>
          <w:numId w:val="91"/>
        </w:numPr>
        <w:spacing w:after="200"/>
        <w:contextualSpacing/>
        <w:rPr>
          <w:rFonts w:ascii="Century Gothic" w:hAnsi="Century Gothic"/>
          <w:sz w:val="22"/>
          <w:szCs w:val="22"/>
          <w:lang w:val="es-MX"/>
        </w:rPr>
      </w:pPr>
      <w:r>
        <w:rPr>
          <w:rFonts w:ascii="Century Gothic" w:hAnsi="Century Gothic"/>
          <w:sz w:val="22"/>
          <w:szCs w:val="22"/>
          <w:lang w:val="es-MX"/>
        </w:rPr>
        <w:t>Abstenerse de recibir valores para aplicar a productos o servicios,  sin el lleno  de los requisitos mínimos exigidos, además no recibir dineros sin que éstos ingresen por medios autorizados (caja, bancos, sucursales y agencias).</w:t>
      </w:r>
    </w:p>
    <w:p w14:paraId="04C90851">
      <w:pPr>
        <w:pStyle w:val="65"/>
        <w:numPr>
          <w:ilvl w:val="0"/>
          <w:numId w:val="91"/>
        </w:numPr>
        <w:spacing w:after="200"/>
        <w:contextualSpacing/>
        <w:rPr>
          <w:rFonts w:ascii="Century Gothic" w:hAnsi="Century Gothic"/>
          <w:sz w:val="22"/>
          <w:szCs w:val="22"/>
          <w:lang w:val="es-MX"/>
        </w:rPr>
      </w:pPr>
      <w:r>
        <w:rPr>
          <w:rFonts w:ascii="Century Gothic" w:hAnsi="Century Gothic"/>
          <w:sz w:val="22"/>
          <w:szCs w:val="22"/>
          <w:lang w:val="es-MX"/>
        </w:rPr>
        <w:t>Apoyar el proceso de actualización de los datos con el propósito  de mantener actualizada la base de datos, así como dar cumplimiento a  normas en materia de lavado de activos y financiamiento del terrorismo.</w:t>
      </w:r>
    </w:p>
    <w:p w14:paraId="2F50AD85">
      <w:pPr>
        <w:pStyle w:val="65"/>
        <w:numPr>
          <w:ilvl w:val="0"/>
          <w:numId w:val="91"/>
        </w:numPr>
        <w:spacing w:after="200"/>
        <w:contextualSpacing/>
        <w:rPr>
          <w:rFonts w:ascii="Century Gothic" w:hAnsi="Century Gothic"/>
          <w:sz w:val="22"/>
          <w:szCs w:val="22"/>
          <w:lang w:val="es-MX"/>
        </w:rPr>
      </w:pPr>
      <w:r>
        <w:rPr>
          <w:rFonts w:ascii="Century Gothic" w:hAnsi="Century Gothic"/>
          <w:sz w:val="22"/>
          <w:szCs w:val="22"/>
          <w:lang w:val="es-MX"/>
        </w:rPr>
        <w:t>Entregar la información que requieran los asociados, la cual  deberá ajustarse a la realidad, procurando en todo  momento  dar  claridad, precisión y oportunidad.</w:t>
      </w:r>
    </w:p>
    <w:p w14:paraId="451D9398">
      <w:pPr>
        <w:pStyle w:val="65"/>
        <w:ind w:left="927"/>
        <w:contextualSpacing/>
        <w:rPr>
          <w:rFonts w:ascii="Century Gothic" w:hAnsi="Century Gothic"/>
          <w:sz w:val="22"/>
          <w:szCs w:val="22"/>
          <w:lang w:val="es-MX"/>
        </w:rPr>
      </w:pPr>
    </w:p>
    <w:p w14:paraId="1AB4049D">
      <w:pPr>
        <w:pStyle w:val="65"/>
        <w:numPr>
          <w:ilvl w:val="1"/>
          <w:numId w:val="88"/>
        </w:numPr>
        <w:spacing w:after="200"/>
        <w:contextualSpacing/>
        <w:rPr>
          <w:rFonts w:ascii="Century Gothic" w:hAnsi="Century Gothic"/>
          <w:b/>
          <w:sz w:val="22"/>
          <w:szCs w:val="22"/>
          <w:lang w:val="es-MX"/>
        </w:rPr>
      </w:pPr>
      <w:r>
        <w:rPr>
          <w:rFonts w:ascii="Century Gothic" w:hAnsi="Century Gothic"/>
          <w:b/>
          <w:sz w:val="22"/>
          <w:szCs w:val="22"/>
          <w:lang w:val="es-MX"/>
        </w:rPr>
        <w:t>Frente a los Proveedores de bienes y/o servicios y los usuarios</w:t>
      </w:r>
    </w:p>
    <w:p w14:paraId="0721BF13">
      <w:pPr>
        <w:pStyle w:val="65"/>
        <w:ind w:left="644"/>
        <w:rPr>
          <w:rFonts w:ascii="Century Gothic" w:hAnsi="Century Gothic"/>
          <w:b/>
          <w:sz w:val="22"/>
          <w:szCs w:val="22"/>
          <w:lang w:val="es-MX"/>
        </w:rPr>
      </w:pPr>
    </w:p>
    <w:p w14:paraId="34ABECAF">
      <w:pPr>
        <w:pStyle w:val="65"/>
        <w:numPr>
          <w:ilvl w:val="0"/>
          <w:numId w:val="92"/>
        </w:numPr>
        <w:spacing w:after="200"/>
        <w:contextualSpacing/>
        <w:rPr>
          <w:rFonts w:ascii="Century Gothic" w:hAnsi="Century Gothic"/>
          <w:sz w:val="22"/>
          <w:szCs w:val="22"/>
          <w:lang w:val="es-MX"/>
        </w:rPr>
      </w:pPr>
      <w:r>
        <w:rPr>
          <w:rFonts w:ascii="Century Gothic" w:hAnsi="Century Gothic"/>
          <w:sz w:val="22"/>
          <w:szCs w:val="22"/>
          <w:lang w:val="es-MX"/>
        </w:rPr>
        <w:t>Velar porque los proveedores de bienes y/o servicios que tengan relación con la Entidad, estén debidamente sometidos a las disposiciones  legales reglamentarias que regulen su actividad, además de las normas internas.</w:t>
      </w:r>
    </w:p>
    <w:p w14:paraId="42A3B291">
      <w:pPr>
        <w:pStyle w:val="65"/>
        <w:numPr>
          <w:ilvl w:val="0"/>
          <w:numId w:val="92"/>
        </w:numPr>
        <w:spacing w:after="200"/>
        <w:contextualSpacing/>
        <w:rPr>
          <w:rFonts w:ascii="Century Gothic" w:hAnsi="Century Gothic"/>
          <w:sz w:val="22"/>
          <w:szCs w:val="22"/>
          <w:lang w:val="es-MX"/>
        </w:rPr>
      </w:pPr>
      <w:r>
        <w:rPr>
          <w:rFonts w:ascii="Century Gothic" w:hAnsi="Century Gothic"/>
          <w:sz w:val="22"/>
          <w:szCs w:val="22"/>
          <w:lang w:val="es-MX"/>
        </w:rPr>
        <w:t>Informar cuando se tenga conocimiento de que un proveedor de bienes y/o servicios, no cumple los requisitos exigidos para actuar como tal.</w:t>
      </w:r>
    </w:p>
    <w:p w14:paraId="1D0638F9">
      <w:pPr>
        <w:pStyle w:val="65"/>
        <w:numPr>
          <w:ilvl w:val="0"/>
          <w:numId w:val="92"/>
        </w:numPr>
        <w:spacing w:after="200"/>
        <w:contextualSpacing/>
        <w:rPr>
          <w:rFonts w:ascii="Century Gothic" w:hAnsi="Century Gothic"/>
          <w:sz w:val="22"/>
          <w:szCs w:val="22"/>
          <w:lang w:val="es-MX"/>
        </w:rPr>
      </w:pPr>
      <w:r>
        <w:rPr>
          <w:rFonts w:ascii="Century Gothic" w:hAnsi="Century Gothic"/>
          <w:sz w:val="22"/>
          <w:szCs w:val="22"/>
          <w:lang w:val="es-MX"/>
        </w:rPr>
        <w:t>Solicitar la actualización de la información personal y  financiera,  de  acuerdo con la periodicidad que se exija en las normas internas.</w:t>
      </w:r>
    </w:p>
    <w:p w14:paraId="12C46933">
      <w:pPr>
        <w:pStyle w:val="65"/>
        <w:numPr>
          <w:ilvl w:val="0"/>
          <w:numId w:val="92"/>
        </w:numPr>
        <w:spacing w:after="200"/>
        <w:contextualSpacing/>
        <w:rPr>
          <w:rFonts w:ascii="Century Gothic" w:hAnsi="Century Gothic"/>
          <w:sz w:val="22"/>
          <w:szCs w:val="22"/>
          <w:lang w:val="es-MX"/>
        </w:rPr>
      </w:pPr>
      <w:r>
        <w:rPr>
          <w:rFonts w:ascii="Century Gothic" w:hAnsi="Century Gothic"/>
          <w:sz w:val="22"/>
          <w:szCs w:val="22"/>
          <w:lang w:val="es-MX"/>
        </w:rPr>
        <w:t>Abstenerse de recibir prebendas para agilizar pagos o favorecer los intereses de proveedores.</w:t>
      </w:r>
    </w:p>
    <w:p w14:paraId="3B74AD2F">
      <w:pPr>
        <w:contextualSpacing/>
        <w:rPr>
          <w:rFonts w:ascii="Century Gothic" w:hAnsi="Century Gothic"/>
          <w:sz w:val="22"/>
          <w:szCs w:val="22"/>
          <w:lang w:val="es-MX"/>
        </w:rPr>
      </w:pPr>
    </w:p>
    <w:p w14:paraId="0AE0652D">
      <w:pPr>
        <w:pStyle w:val="65"/>
        <w:numPr>
          <w:ilvl w:val="1"/>
          <w:numId w:val="8"/>
        </w:numPr>
        <w:contextualSpacing/>
        <w:rPr>
          <w:rFonts w:ascii="Century Gothic" w:hAnsi="Century Gothic"/>
          <w:b/>
          <w:sz w:val="22"/>
          <w:szCs w:val="22"/>
          <w:lang w:val="es-MX"/>
        </w:rPr>
      </w:pPr>
      <w:r>
        <w:rPr>
          <w:rFonts w:ascii="Century Gothic" w:hAnsi="Century Gothic"/>
          <w:b/>
          <w:sz w:val="22"/>
          <w:szCs w:val="22"/>
          <w:lang w:val="es-MX"/>
        </w:rPr>
        <w:t xml:space="preserve"> DISPOSICIONES PARTICULARES. </w:t>
      </w:r>
    </w:p>
    <w:p w14:paraId="5D963328">
      <w:pPr>
        <w:contextualSpacing/>
        <w:rPr>
          <w:rFonts w:ascii="Century Gothic" w:hAnsi="Century Gothic"/>
          <w:b/>
          <w:sz w:val="22"/>
          <w:szCs w:val="22"/>
          <w:lang w:val="es-MX"/>
        </w:rPr>
      </w:pPr>
    </w:p>
    <w:p w14:paraId="66356E21">
      <w:pPr>
        <w:contextualSpacing/>
        <w:rPr>
          <w:rFonts w:ascii="Century Gothic" w:hAnsi="Century Gothic"/>
          <w:sz w:val="22"/>
          <w:szCs w:val="22"/>
          <w:lang w:val="es-MX"/>
        </w:rPr>
      </w:pPr>
      <w:r>
        <w:rPr>
          <w:rFonts w:ascii="Century Gothic" w:hAnsi="Century Gothic"/>
          <w:sz w:val="22"/>
          <w:szCs w:val="22"/>
          <w:lang w:val="es-MX"/>
        </w:rPr>
        <w:t>Los Directivos y demás funcionarios  de la Entidad deberán mantener la mayor objetividad, independencia y conocimiento en la toma decisiones, actuando con buena fe y en cumplimiento de la ley, para lo cual en  el ejercicio de sus funciones:</w:t>
      </w:r>
    </w:p>
    <w:p w14:paraId="771081F6">
      <w:pPr>
        <w:contextualSpacing/>
        <w:rPr>
          <w:rFonts w:ascii="Century Gothic" w:hAnsi="Century Gothic"/>
          <w:sz w:val="22"/>
          <w:szCs w:val="22"/>
          <w:lang w:val="es-MX"/>
        </w:rPr>
      </w:pPr>
    </w:p>
    <w:p w14:paraId="2ACED7B5">
      <w:pPr>
        <w:pStyle w:val="65"/>
        <w:numPr>
          <w:ilvl w:val="0"/>
          <w:numId w:val="93"/>
        </w:numPr>
        <w:spacing w:after="200"/>
        <w:contextualSpacing/>
        <w:rPr>
          <w:rFonts w:ascii="Century Gothic" w:hAnsi="Century Gothic"/>
          <w:b/>
          <w:sz w:val="22"/>
          <w:szCs w:val="22"/>
          <w:lang w:val="es-MX"/>
        </w:rPr>
      </w:pPr>
      <w:r>
        <w:rPr>
          <w:rFonts w:ascii="Century Gothic" w:hAnsi="Century Gothic"/>
          <w:b/>
          <w:sz w:val="22"/>
          <w:szCs w:val="22"/>
          <w:lang w:val="es-MX"/>
        </w:rPr>
        <w:t>Con los terceros:</w:t>
      </w:r>
    </w:p>
    <w:p w14:paraId="5C360DEC">
      <w:pPr>
        <w:pStyle w:val="65"/>
        <w:rPr>
          <w:rFonts w:ascii="Century Gothic" w:hAnsi="Century Gothic"/>
          <w:b/>
          <w:sz w:val="22"/>
          <w:szCs w:val="22"/>
          <w:lang w:val="es-MX"/>
        </w:rPr>
      </w:pPr>
    </w:p>
    <w:p w14:paraId="20C10867">
      <w:pPr>
        <w:pStyle w:val="65"/>
        <w:numPr>
          <w:ilvl w:val="0"/>
          <w:numId w:val="94"/>
        </w:numPr>
        <w:spacing w:after="200"/>
        <w:contextualSpacing/>
        <w:rPr>
          <w:rFonts w:ascii="Century Gothic" w:hAnsi="Century Gothic"/>
          <w:sz w:val="22"/>
          <w:szCs w:val="22"/>
          <w:lang w:val="es-MX"/>
        </w:rPr>
      </w:pPr>
      <w:r>
        <w:rPr>
          <w:rFonts w:ascii="Century Gothic" w:hAnsi="Century Gothic"/>
          <w:sz w:val="22"/>
          <w:szCs w:val="22"/>
          <w:lang w:val="es-MX"/>
        </w:rPr>
        <w:t>Deberán guardar reserva y discreción sobre los datos de asociados y demás usuarios, que conozcan en desarrollo de sus funciones y labores, evitando que se deriven perjuicios con la divulgación de ciertos aspectos que por razones comerciales, personales ó legales no deben ser de libre acceso  al  público,  tal como lo dispone la Ley 1581 de 2012 de tratamiento de datos y la 1266 de 2008 sobre el reporte de información a las centrales de riesgo. En desarrollo de  lo anterior deberán abstenerse de:</w:t>
      </w:r>
    </w:p>
    <w:p w14:paraId="286C1FF3">
      <w:pPr>
        <w:pStyle w:val="65"/>
        <w:rPr>
          <w:rFonts w:ascii="Century Gothic" w:hAnsi="Century Gothic"/>
          <w:sz w:val="22"/>
          <w:szCs w:val="22"/>
          <w:lang w:val="es-MX"/>
        </w:rPr>
      </w:pPr>
    </w:p>
    <w:p w14:paraId="57128086">
      <w:pPr>
        <w:pStyle w:val="65"/>
        <w:numPr>
          <w:ilvl w:val="0"/>
          <w:numId w:val="95"/>
        </w:numPr>
        <w:spacing w:after="200"/>
        <w:contextualSpacing/>
        <w:rPr>
          <w:rFonts w:ascii="Century Gothic" w:hAnsi="Century Gothic"/>
          <w:sz w:val="22"/>
          <w:szCs w:val="22"/>
          <w:lang w:val="es-MX"/>
        </w:rPr>
      </w:pPr>
      <w:r>
        <w:rPr>
          <w:rFonts w:ascii="Century Gothic" w:hAnsi="Century Gothic"/>
          <w:sz w:val="22"/>
          <w:szCs w:val="22"/>
          <w:lang w:val="es-MX"/>
        </w:rPr>
        <w:t>Proporcionar información o suministrar documentación de las operaciones realizadas por los asociados o usuarios a personas distintas del mismo cliente o usuario, sus beneficiarios o autorizados, representantes o apoderados, y de las autoridades u organismos facultados por la ley, en los términos de la misma, salvo cuando el suministro de dicha información sea estrictamente necesaria para el cumplimiento de sus funciones como empleados.</w:t>
      </w:r>
    </w:p>
    <w:p w14:paraId="7BD966F3">
      <w:pPr>
        <w:pStyle w:val="65"/>
        <w:ind w:left="1440"/>
        <w:contextualSpacing/>
        <w:rPr>
          <w:rFonts w:ascii="Century Gothic" w:hAnsi="Century Gothic"/>
          <w:sz w:val="22"/>
          <w:szCs w:val="22"/>
          <w:lang w:val="es-MX"/>
        </w:rPr>
      </w:pPr>
    </w:p>
    <w:p w14:paraId="5E4F630C">
      <w:pPr>
        <w:pStyle w:val="65"/>
        <w:numPr>
          <w:ilvl w:val="0"/>
          <w:numId w:val="94"/>
        </w:numPr>
        <w:spacing w:after="200"/>
        <w:contextualSpacing/>
        <w:rPr>
          <w:rFonts w:ascii="Century Gothic" w:hAnsi="Century Gothic"/>
          <w:sz w:val="22"/>
          <w:szCs w:val="22"/>
          <w:lang w:val="es-MX"/>
        </w:rPr>
      </w:pPr>
      <w:r>
        <w:rPr>
          <w:rFonts w:ascii="Century Gothic" w:hAnsi="Century Gothic"/>
          <w:sz w:val="22"/>
          <w:szCs w:val="22"/>
          <w:lang w:val="es-MX"/>
        </w:rPr>
        <w:t>Comunicar o divulgar información reservada que pudiera dañar la imagen o el prestigio de la entidad o de terceras personas, entendiéndose como información privilegiada aquella información de carácter concreto, bien sea  de la entidad,  de sus asociados o proveedores, que no ha sido dada a conocer al público y que de serlo, la habría tenido en cuenta una persona medianamente diligente o prudente para tomar una decisión.</w:t>
      </w:r>
    </w:p>
    <w:p w14:paraId="2697BD6B">
      <w:pPr>
        <w:pStyle w:val="65"/>
        <w:rPr>
          <w:rFonts w:ascii="Century Gothic" w:hAnsi="Century Gothic"/>
          <w:sz w:val="22"/>
          <w:szCs w:val="22"/>
          <w:lang w:val="es-MX"/>
        </w:rPr>
      </w:pPr>
    </w:p>
    <w:p w14:paraId="264A8797">
      <w:pPr>
        <w:pStyle w:val="65"/>
        <w:numPr>
          <w:ilvl w:val="0"/>
          <w:numId w:val="93"/>
        </w:numPr>
        <w:spacing w:after="200"/>
        <w:contextualSpacing/>
        <w:rPr>
          <w:rFonts w:ascii="Century Gothic" w:hAnsi="Century Gothic"/>
          <w:b/>
          <w:sz w:val="22"/>
          <w:szCs w:val="22"/>
          <w:lang w:val="es-MX"/>
        </w:rPr>
      </w:pPr>
      <w:r>
        <w:rPr>
          <w:rFonts w:ascii="Century Gothic" w:hAnsi="Century Gothic"/>
          <w:b/>
          <w:sz w:val="22"/>
          <w:szCs w:val="22"/>
          <w:lang w:val="es-MX"/>
        </w:rPr>
        <w:t>Con la empresa:</w:t>
      </w:r>
    </w:p>
    <w:p w14:paraId="14407DE8">
      <w:pPr>
        <w:pStyle w:val="65"/>
        <w:ind w:left="502"/>
        <w:rPr>
          <w:rFonts w:ascii="Century Gothic" w:hAnsi="Century Gothic"/>
          <w:b/>
          <w:sz w:val="22"/>
          <w:szCs w:val="22"/>
          <w:lang w:val="es-MX"/>
        </w:rPr>
      </w:pPr>
    </w:p>
    <w:p w14:paraId="092ADCCA">
      <w:pPr>
        <w:pStyle w:val="65"/>
        <w:numPr>
          <w:ilvl w:val="0"/>
          <w:numId w:val="96"/>
        </w:numPr>
        <w:spacing w:after="200"/>
        <w:contextualSpacing/>
        <w:rPr>
          <w:rFonts w:ascii="Century Gothic" w:hAnsi="Century Gothic"/>
          <w:sz w:val="22"/>
          <w:szCs w:val="22"/>
          <w:lang w:val="es-MX"/>
        </w:rPr>
      </w:pPr>
      <w:r>
        <w:rPr>
          <w:rFonts w:ascii="Century Gothic" w:hAnsi="Century Gothic"/>
          <w:sz w:val="22"/>
          <w:szCs w:val="22"/>
          <w:lang w:val="es-MX"/>
        </w:rPr>
        <w:t>Deberán mantener la debida confidencialidad y reserva sobre los documentos de trabajo y la información confidencial que esté a su cuidado. Por lo tanto, deberán controlar y evitar que en cualquiera de las instancias o dependencias de la entidad se haga uso indebido de dicha información o que la misma sea conocida por personas que no tengan autorización para ello.</w:t>
      </w:r>
    </w:p>
    <w:p w14:paraId="4C64EB01">
      <w:pPr>
        <w:pStyle w:val="65"/>
        <w:rPr>
          <w:rFonts w:ascii="Century Gothic" w:hAnsi="Century Gothic"/>
          <w:sz w:val="22"/>
          <w:szCs w:val="22"/>
          <w:lang w:val="es-MX"/>
        </w:rPr>
      </w:pPr>
    </w:p>
    <w:p w14:paraId="569852FD">
      <w:pPr>
        <w:pStyle w:val="65"/>
        <w:numPr>
          <w:ilvl w:val="0"/>
          <w:numId w:val="96"/>
        </w:numPr>
        <w:spacing w:after="200"/>
        <w:contextualSpacing/>
        <w:rPr>
          <w:rFonts w:ascii="Century Gothic" w:hAnsi="Century Gothic"/>
          <w:sz w:val="22"/>
          <w:szCs w:val="22"/>
          <w:lang w:val="es-MX"/>
        </w:rPr>
      </w:pPr>
      <w:r>
        <w:rPr>
          <w:rFonts w:ascii="Century Gothic" w:hAnsi="Century Gothic"/>
          <w:sz w:val="22"/>
          <w:szCs w:val="22"/>
          <w:lang w:val="es-MX"/>
        </w:rPr>
        <w:t>Así mismo, no revelarán ni transferirán a terceras personas las tecnologías, metodología, know how (saber hacer - E</w:t>
      </w:r>
      <w:r>
        <w:rPr>
          <w:rFonts w:ascii="Century Gothic" w:hAnsi="Century Gothic"/>
          <w:sz w:val="22"/>
          <w:szCs w:val="22"/>
          <w:shd w:val="clear" w:color="auto" w:fill="FFFFFF"/>
        </w:rPr>
        <w:t>s el conjunto de capacidades y conocimientos que le permiten a una empresa o a una persona desarrollar una actividad o un proyecto con experiencia</w:t>
      </w:r>
      <w:r>
        <w:rPr>
          <w:rFonts w:ascii="Century Gothic" w:hAnsi="Century Gothic"/>
          <w:sz w:val="22"/>
          <w:szCs w:val="22"/>
          <w:lang w:val="es-MX"/>
        </w:rPr>
        <w:t>), y secretos industriales, comerciales o estratégicos que pertenezcan a la entidad, sus asociados o proveedores, a los que haya tenido acceso con ocasión de su cargo. Igualmente, no obtendrán ni intentarán el  acceso  a información que represente secreto industrial, comercial o estratégico en forma ilegítima.</w:t>
      </w:r>
    </w:p>
    <w:p w14:paraId="2CB494A5">
      <w:pPr>
        <w:pStyle w:val="65"/>
        <w:rPr>
          <w:rFonts w:ascii="Century Gothic" w:hAnsi="Century Gothic"/>
          <w:sz w:val="22"/>
          <w:szCs w:val="22"/>
          <w:lang w:val="es-MX"/>
        </w:rPr>
      </w:pPr>
    </w:p>
    <w:p w14:paraId="26B74487">
      <w:pPr>
        <w:pStyle w:val="65"/>
        <w:numPr>
          <w:ilvl w:val="0"/>
          <w:numId w:val="96"/>
        </w:numPr>
        <w:spacing w:after="200"/>
        <w:contextualSpacing/>
        <w:rPr>
          <w:rFonts w:ascii="Century Gothic" w:hAnsi="Century Gothic"/>
          <w:sz w:val="22"/>
          <w:szCs w:val="22"/>
          <w:lang w:val="es-MX"/>
        </w:rPr>
      </w:pPr>
      <w:r>
        <w:rPr>
          <w:rFonts w:ascii="Century Gothic" w:hAnsi="Century Gothic"/>
          <w:sz w:val="22"/>
          <w:szCs w:val="22"/>
          <w:lang w:val="es-MX"/>
        </w:rPr>
        <w:t>Los funcionarios no deberán por ningún motivos, tomar decisiones unilaterales sin contar con el visto bueno de sus superiores jerárquicos, respetando con ello el denominado Conducto Regular.</w:t>
      </w:r>
    </w:p>
    <w:p w14:paraId="5FCCA690">
      <w:pPr>
        <w:pStyle w:val="65"/>
        <w:rPr>
          <w:rFonts w:ascii="Century Gothic" w:hAnsi="Century Gothic"/>
          <w:sz w:val="22"/>
          <w:szCs w:val="22"/>
          <w:lang w:val="es-MX"/>
        </w:rPr>
      </w:pPr>
    </w:p>
    <w:p w14:paraId="491ED301">
      <w:pPr>
        <w:pStyle w:val="65"/>
        <w:numPr>
          <w:ilvl w:val="0"/>
          <w:numId w:val="96"/>
        </w:numPr>
        <w:spacing w:after="200"/>
        <w:contextualSpacing/>
        <w:rPr>
          <w:rFonts w:ascii="Century Gothic" w:hAnsi="Century Gothic"/>
          <w:sz w:val="22"/>
          <w:szCs w:val="22"/>
          <w:lang w:val="es-MX"/>
        </w:rPr>
      </w:pPr>
      <w:r>
        <w:rPr>
          <w:rFonts w:ascii="Century Gothic" w:hAnsi="Century Gothic"/>
          <w:sz w:val="22"/>
          <w:szCs w:val="22"/>
          <w:lang w:val="es-MX"/>
        </w:rPr>
        <w:t>De igual forma, no podrán tomar decisiones particulares no autorizadas.</w:t>
      </w:r>
    </w:p>
    <w:p w14:paraId="75DC3B25">
      <w:pPr>
        <w:rPr>
          <w:rFonts w:ascii="Century Gothic" w:hAnsi="Century Gothic"/>
          <w:sz w:val="22"/>
          <w:szCs w:val="22"/>
          <w:lang w:val="es-MX"/>
        </w:rPr>
      </w:pPr>
    </w:p>
    <w:p w14:paraId="1CD5EE35">
      <w:pPr>
        <w:pStyle w:val="65"/>
        <w:numPr>
          <w:ilvl w:val="0"/>
          <w:numId w:val="93"/>
        </w:numPr>
        <w:spacing w:after="200"/>
        <w:contextualSpacing/>
        <w:rPr>
          <w:rFonts w:ascii="Century Gothic" w:hAnsi="Century Gothic"/>
          <w:sz w:val="22"/>
          <w:szCs w:val="22"/>
          <w:lang w:val="es-MX"/>
        </w:rPr>
      </w:pPr>
      <w:r>
        <w:rPr>
          <w:rFonts w:ascii="Century Gothic" w:hAnsi="Century Gothic"/>
          <w:b/>
          <w:sz w:val="22"/>
          <w:szCs w:val="22"/>
          <w:lang w:val="es-MX"/>
        </w:rPr>
        <w:t>Con el Uso Adecuado de Recursos:</w:t>
      </w:r>
      <w:r>
        <w:rPr>
          <w:rFonts w:ascii="Century Gothic" w:hAnsi="Century Gothic"/>
          <w:sz w:val="22"/>
          <w:szCs w:val="22"/>
          <w:lang w:val="es-MX"/>
        </w:rPr>
        <w:t xml:space="preserve"> </w:t>
      </w:r>
    </w:p>
    <w:p w14:paraId="56203328">
      <w:pPr>
        <w:pStyle w:val="65"/>
        <w:ind w:left="502"/>
        <w:rPr>
          <w:rFonts w:ascii="Century Gothic" w:hAnsi="Century Gothic"/>
          <w:sz w:val="22"/>
          <w:szCs w:val="22"/>
          <w:lang w:val="es-MX"/>
        </w:rPr>
      </w:pPr>
    </w:p>
    <w:p w14:paraId="2C575F72">
      <w:pPr>
        <w:pStyle w:val="65"/>
        <w:numPr>
          <w:ilvl w:val="0"/>
          <w:numId w:val="97"/>
        </w:numPr>
        <w:spacing w:after="200"/>
        <w:contextualSpacing/>
        <w:rPr>
          <w:rFonts w:ascii="Century Gothic" w:hAnsi="Century Gothic"/>
          <w:sz w:val="22"/>
          <w:szCs w:val="22"/>
          <w:lang w:val="es-MX"/>
        </w:rPr>
      </w:pPr>
      <w:r>
        <w:rPr>
          <w:rFonts w:ascii="Century Gothic" w:hAnsi="Century Gothic"/>
          <w:sz w:val="22"/>
          <w:szCs w:val="22"/>
          <w:lang w:val="es-MX"/>
        </w:rPr>
        <w:t>Deberán dar uso adecuado y racional a los muebles, herramientas, equipos y demás elementos de trabajo.</w:t>
      </w:r>
    </w:p>
    <w:p w14:paraId="2EF5710E">
      <w:pPr>
        <w:contextualSpacing/>
        <w:rPr>
          <w:rFonts w:ascii="Century Gothic" w:hAnsi="Century Gothic"/>
          <w:sz w:val="22"/>
          <w:szCs w:val="22"/>
          <w:lang w:val="es-MX"/>
        </w:rPr>
      </w:pPr>
    </w:p>
    <w:p w14:paraId="18FEFB5B">
      <w:pPr>
        <w:pStyle w:val="65"/>
        <w:numPr>
          <w:ilvl w:val="1"/>
          <w:numId w:val="8"/>
        </w:numPr>
        <w:contextualSpacing/>
        <w:rPr>
          <w:rFonts w:ascii="Century Gothic" w:hAnsi="Century Gothic"/>
          <w:b/>
          <w:sz w:val="22"/>
          <w:szCs w:val="22"/>
          <w:lang w:val="es-MX"/>
        </w:rPr>
      </w:pPr>
      <w:r>
        <w:rPr>
          <w:rFonts w:ascii="Century Gothic" w:hAnsi="Century Gothic"/>
          <w:b/>
          <w:sz w:val="22"/>
          <w:szCs w:val="22"/>
          <w:lang w:val="es-MX"/>
        </w:rPr>
        <w:t xml:space="preserve"> PREVENCION Y MANEJO DE CONFLICTOS DE INTERES.</w:t>
      </w:r>
    </w:p>
    <w:p w14:paraId="08FDA0A9">
      <w:pPr>
        <w:contextualSpacing/>
        <w:rPr>
          <w:rFonts w:ascii="Century Gothic" w:hAnsi="Century Gothic"/>
          <w:sz w:val="22"/>
          <w:szCs w:val="22"/>
          <w:lang w:val="es-MX"/>
        </w:rPr>
      </w:pPr>
    </w:p>
    <w:p w14:paraId="05093BA1">
      <w:pPr>
        <w:contextualSpacing/>
        <w:rPr>
          <w:rFonts w:ascii="Century Gothic" w:hAnsi="Century Gothic"/>
          <w:sz w:val="22"/>
          <w:szCs w:val="22"/>
          <w:lang w:val="es-MX"/>
        </w:rPr>
      </w:pPr>
      <w:r>
        <w:rPr>
          <w:rFonts w:ascii="Century Gothic" w:hAnsi="Century Gothic"/>
          <w:sz w:val="22"/>
          <w:szCs w:val="22"/>
          <w:lang w:val="es-MX"/>
        </w:rPr>
        <w:t xml:space="preserve"> Se entiende por conflicto de interés la situación en virtud de la cual una persona natural o jurídica se enfrenta a distintas alternativas de conducta en relación con intereses incompatibles, ninguno de los cuales puede privilegiar en atención a sus obligaciones legales o contractuales. Los conflictos de interés generan un efecto negativo en la transparencia, equidad y buena fe que deben caracterizar las relaciones de negocios, por ende, se relacionan directamente con cuestiones eminentemente éticas, que pueden o no tener consagración legal.</w:t>
      </w:r>
    </w:p>
    <w:p w14:paraId="4E4146DC">
      <w:pPr>
        <w:contextualSpacing/>
        <w:rPr>
          <w:rFonts w:ascii="Century Gothic" w:hAnsi="Century Gothic"/>
          <w:sz w:val="22"/>
          <w:szCs w:val="22"/>
          <w:lang w:val="es-MX"/>
        </w:rPr>
      </w:pPr>
    </w:p>
    <w:p w14:paraId="394848AE">
      <w:pPr>
        <w:contextualSpacing/>
        <w:rPr>
          <w:rFonts w:ascii="Century Gothic" w:hAnsi="Century Gothic"/>
          <w:sz w:val="22"/>
          <w:szCs w:val="22"/>
          <w:lang w:val="es-MX"/>
        </w:rPr>
      </w:pPr>
      <w:r>
        <w:rPr>
          <w:rFonts w:ascii="Century Gothic" w:hAnsi="Century Gothic"/>
          <w:sz w:val="22"/>
          <w:szCs w:val="22"/>
          <w:lang w:val="es-MX"/>
        </w:rPr>
        <w:t>Se podrían identificar como situaciones que generan conflicto de interés las siguientes:</w:t>
      </w:r>
    </w:p>
    <w:p w14:paraId="2518FE20">
      <w:pPr>
        <w:contextualSpacing/>
        <w:rPr>
          <w:rFonts w:ascii="Century Gothic" w:hAnsi="Century Gothic"/>
          <w:sz w:val="22"/>
          <w:szCs w:val="22"/>
          <w:lang w:val="es-MX"/>
        </w:rPr>
      </w:pPr>
    </w:p>
    <w:p w14:paraId="4AD9CCF8">
      <w:pPr>
        <w:pStyle w:val="65"/>
        <w:numPr>
          <w:ilvl w:val="0"/>
          <w:numId w:val="98"/>
        </w:numPr>
        <w:spacing w:after="200"/>
        <w:contextualSpacing/>
        <w:rPr>
          <w:rFonts w:ascii="Century Gothic" w:hAnsi="Century Gothic"/>
          <w:sz w:val="22"/>
          <w:szCs w:val="22"/>
          <w:lang w:val="es-MX"/>
        </w:rPr>
      </w:pPr>
      <w:r>
        <w:rPr>
          <w:rFonts w:ascii="Century Gothic" w:hAnsi="Century Gothic"/>
          <w:sz w:val="22"/>
          <w:szCs w:val="22"/>
          <w:lang w:val="es-MX"/>
        </w:rPr>
        <w:t>Aprovechar de la situación para sí o en beneficio de terceros</w:t>
      </w:r>
    </w:p>
    <w:p w14:paraId="20991A8A">
      <w:pPr>
        <w:pStyle w:val="65"/>
        <w:numPr>
          <w:ilvl w:val="0"/>
          <w:numId w:val="98"/>
        </w:numPr>
        <w:spacing w:after="200"/>
        <w:contextualSpacing/>
        <w:rPr>
          <w:rFonts w:ascii="Century Gothic" w:hAnsi="Century Gothic"/>
          <w:sz w:val="22"/>
          <w:szCs w:val="22"/>
          <w:lang w:val="es-MX"/>
        </w:rPr>
      </w:pPr>
      <w:r>
        <w:rPr>
          <w:rFonts w:ascii="Century Gothic" w:hAnsi="Century Gothic"/>
          <w:sz w:val="22"/>
          <w:szCs w:val="22"/>
          <w:lang w:val="es-MX"/>
        </w:rPr>
        <w:t>Omitir un deber legal, contractual o moral.</w:t>
      </w:r>
    </w:p>
    <w:p w14:paraId="2C9BEECF">
      <w:pPr>
        <w:pStyle w:val="65"/>
        <w:numPr>
          <w:ilvl w:val="0"/>
          <w:numId w:val="98"/>
        </w:numPr>
        <w:spacing w:after="200"/>
        <w:contextualSpacing/>
        <w:rPr>
          <w:rFonts w:ascii="Century Gothic" w:hAnsi="Century Gothic"/>
          <w:sz w:val="22"/>
          <w:szCs w:val="22"/>
          <w:lang w:val="es-MX"/>
        </w:rPr>
      </w:pPr>
      <w:r>
        <w:rPr>
          <w:rFonts w:ascii="Century Gothic" w:hAnsi="Century Gothic"/>
          <w:sz w:val="22"/>
          <w:szCs w:val="22"/>
          <w:lang w:val="es-MX"/>
        </w:rPr>
        <w:t>Manejar inadecuadamente la información para beneficio propio o de terceros</w:t>
      </w:r>
    </w:p>
    <w:p w14:paraId="75254A65">
      <w:pPr>
        <w:pStyle w:val="65"/>
        <w:numPr>
          <w:ilvl w:val="0"/>
          <w:numId w:val="98"/>
        </w:numPr>
        <w:spacing w:after="200"/>
        <w:contextualSpacing/>
        <w:rPr>
          <w:rFonts w:ascii="Century Gothic" w:hAnsi="Century Gothic"/>
          <w:sz w:val="22"/>
          <w:szCs w:val="22"/>
          <w:lang w:val="es-MX"/>
        </w:rPr>
      </w:pPr>
      <w:r>
        <w:rPr>
          <w:rFonts w:ascii="Century Gothic" w:hAnsi="Century Gothic"/>
          <w:sz w:val="22"/>
          <w:szCs w:val="22"/>
          <w:lang w:val="es-MX"/>
        </w:rPr>
        <w:t>Tomar decisiones en participar o influir en ellas para beneficio propio o de terceros, con los cuales se tenga vínculo directo o de los cuales se pueda recibir  un  beneficio</w:t>
      </w:r>
    </w:p>
    <w:p w14:paraId="32A404AC">
      <w:pPr>
        <w:pStyle w:val="65"/>
        <w:rPr>
          <w:rFonts w:ascii="Century Gothic" w:hAnsi="Century Gothic"/>
          <w:sz w:val="22"/>
          <w:szCs w:val="22"/>
          <w:lang w:val="es-MX"/>
        </w:rPr>
      </w:pPr>
    </w:p>
    <w:p w14:paraId="5953F740">
      <w:pPr>
        <w:pStyle w:val="65"/>
        <w:numPr>
          <w:ilvl w:val="0"/>
          <w:numId w:val="99"/>
        </w:numPr>
        <w:spacing w:after="200"/>
        <w:contextualSpacing/>
        <w:rPr>
          <w:rFonts w:ascii="Century Gothic" w:hAnsi="Century Gothic"/>
          <w:b/>
          <w:sz w:val="22"/>
          <w:szCs w:val="22"/>
          <w:lang w:val="es-MX"/>
        </w:rPr>
      </w:pPr>
      <w:r>
        <w:rPr>
          <w:rFonts w:ascii="Century Gothic" w:hAnsi="Century Gothic"/>
          <w:b/>
          <w:sz w:val="22"/>
          <w:szCs w:val="22"/>
          <w:lang w:val="es-MX"/>
        </w:rPr>
        <w:t>Pautas Generales</w:t>
      </w:r>
    </w:p>
    <w:p w14:paraId="05413802">
      <w:pPr>
        <w:rPr>
          <w:rFonts w:ascii="Century Gothic" w:hAnsi="Century Gothic"/>
          <w:sz w:val="22"/>
          <w:szCs w:val="22"/>
          <w:lang w:val="es-MX"/>
        </w:rPr>
      </w:pPr>
      <w:r>
        <w:rPr>
          <w:rFonts w:ascii="Century Gothic" w:hAnsi="Century Gothic"/>
          <w:sz w:val="22"/>
          <w:szCs w:val="22"/>
          <w:lang w:val="es-MX"/>
        </w:rPr>
        <w:t>En consecuencia, en atención a las prescripciones legales y de la experiencia, se establecen algunas prácticas prohibidas y otras controladas con miras a evitar los conflictos de interés, bajo el entendido de que no comprenden  todas  las  prácticas posibles, sino que representan un instrumento meramente preventivo, y que deben ser interpretadas de acuerdo con las pautas generales que a continuación se formulan:</w:t>
      </w:r>
    </w:p>
    <w:p w14:paraId="320E4B77">
      <w:pPr>
        <w:pStyle w:val="65"/>
        <w:numPr>
          <w:ilvl w:val="0"/>
          <w:numId w:val="100"/>
        </w:numPr>
        <w:spacing w:after="200"/>
        <w:contextualSpacing/>
        <w:rPr>
          <w:rFonts w:ascii="Century Gothic" w:hAnsi="Century Gothic"/>
          <w:sz w:val="22"/>
          <w:szCs w:val="22"/>
          <w:lang w:val="es-MX"/>
        </w:rPr>
      </w:pPr>
      <w:r>
        <w:rPr>
          <w:rFonts w:ascii="Century Gothic" w:hAnsi="Century Gothic"/>
          <w:sz w:val="22"/>
          <w:szCs w:val="22"/>
          <w:lang w:val="es-MX"/>
        </w:rPr>
        <w:t>El funcionario que considere que se encuentra incurso en un conflicto de interés, diferente de los expresamente mencionados en el presente documento, siempre deberá abstenerse de tomar cualquier decisión  y deberá anteponer  su obligación de lealtad a su propio interés.</w:t>
      </w:r>
    </w:p>
    <w:p w14:paraId="6971EA8C">
      <w:pPr>
        <w:pStyle w:val="65"/>
        <w:numPr>
          <w:ilvl w:val="0"/>
          <w:numId w:val="100"/>
        </w:numPr>
        <w:spacing w:after="200"/>
        <w:contextualSpacing/>
        <w:rPr>
          <w:rFonts w:ascii="Century Gothic" w:hAnsi="Century Gothic"/>
          <w:sz w:val="22"/>
          <w:szCs w:val="22"/>
          <w:lang w:val="es-MX"/>
        </w:rPr>
      </w:pPr>
      <w:r>
        <w:rPr>
          <w:rFonts w:ascii="Century Gothic" w:hAnsi="Century Gothic"/>
          <w:sz w:val="22"/>
          <w:szCs w:val="22"/>
          <w:lang w:val="es-MX"/>
        </w:rPr>
        <w:t>Los asociados o clientes actuales y potenciales, serán tratados con igual respeto y consideración, sin que reciban ninguna clase de tratamiento preferencial; la  atención esmerada y el servicio al cliente deben ser presupuestos de toda  operación y norma general de conducta y no representarán un privilegio derivado  de consideraciones comerciales o de preferencia personal, ni mucho menos, la contraprestación por reciprocidades o algún tipo de remuneración indebida.</w:t>
      </w:r>
    </w:p>
    <w:p w14:paraId="523FE04A">
      <w:pPr>
        <w:pStyle w:val="65"/>
        <w:numPr>
          <w:ilvl w:val="0"/>
          <w:numId w:val="100"/>
        </w:numPr>
        <w:spacing w:after="200"/>
        <w:contextualSpacing/>
        <w:rPr>
          <w:rFonts w:ascii="Century Gothic" w:hAnsi="Century Gothic"/>
          <w:sz w:val="22"/>
          <w:szCs w:val="22"/>
          <w:lang w:val="es-MX"/>
        </w:rPr>
      </w:pPr>
      <w:r>
        <w:rPr>
          <w:rFonts w:ascii="Century Gothic" w:hAnsi="Century Gothic"/>
          <w:sz w:val="22"/>
          <w:szCs w:val="22"/>
          <w:lang w:val="es-MX"/>
        </w:rPr>
        <w:t>El funcionario, de cualquier rango, que se vea inmerso en una situación tal que el desconocimiento de cualquiera de los deberes de lealtad,  le genere provecho a él  o a un tercero, siempre se hallará en medio de un conflicto de interés.</w:t>
      </w:r>
    </w:p>
    <w:p w14:paraId="778C5224">
      <w:pPr>
        <w:pStyle w:val="65"/>
        <w:numPr>
          <w:ilvl w:val="0"/>
          <w:numId w:val="100"/>
        </w:numPr>
        <w:spacing w:after="200"/>
        <w:contextualSpacing/>
        <w:rPr>
          <w:rFonts w:ascii="Century Gothic" w:hAnsi="Century Gothic"/>
          <w:sz w:val="22"/>
          <w:szCs w:val="22"/>
          <w:lang w:val="es-MX"/>
        </w:rPr>
      </w:pPr>
      <w:r>
        <w:rPr>
          <w:rFonts w:ascii="Century Gothic" w:hAnsi="Century Gothic"/>
          <w:sz w:val="22"/>
          <w:szCs w:val="22"/>
          <w:lang w:val="es-MX"/>
        </w:rPr>
        <w:t>Los conflictos de interés deberán analizarse de acuerdo con las  condiciones  particulares de una situación concreta. Los funcionarios deberán presumir que todos los eventos que   se mencionan en el presente instructivo son generadores de conflicto de interés, pero que  si a su juicio, no lo consideran, podrán demostrar ante el superior  inmediato  que  no sucede tal situación.</w:t>
      </w:r>
    </w:p>
    <w:p w14:paraId="5D38386C">
      <w:pPr>
        <w:pStyle w:val="65"/>
        <w:numPr>
          <w:ilvl w:val="0"/>
          <w:numId w:val="100"/>
        </w:numPr>
        <w:spacing w:after="200"/>
        <w:contextualSpacing/>
        <w:rPr>
          <w:rFonts w:ascii="Century Gothic" w:hAnsi="Century Gothic"/>
          <w:sz w:val="22"/>
          <w:szCs w:val="22"/>
          <w:lang w:val="es-MX"/>
        </w:rPr>
      </w:pPr>
      <w:r>
        <w:rPr>
          <w:rFonts w:ascii="Century Gothic" w:hAnsi="Century Gothic"/>
          <w:sz w:val="22"/>
          <w:szCs w:val="22"/>
          <w:lang w:val="es-MX"/>
        </w:rPr>
        <w:t>En razón a que las prácticas originadoras de conflictos de interés son múltiples, es deber  de los funcionarios atender la definición y pautas aquí trazadas, de forma  que  siempre  que determinen la existencia de conflicto de interés que no  esté  expresamente consagrado, se abstengan de ejecutar la práctica u operación que  constituya  su  existencia.</w:t>
      </w:r>
    </w:p>
    <w:p w14:paraId="50D95F20">
      <w:pPr>
        <w:pStyle w:val="65"/>
        <w:ind w:left="1069"/>
        <w:rPr>
          <w:rFonts w:ascii="Century Gothic" w:hAnsi="Century Gothic"/>
          <w:sz w:val="22"/>
          <w:szCs w:val="22"/>
          <w:lang w:val="es-MX"/>
        </w:rPr>
      </w:pPr>
    </w:p>
    <w:p w14:paraId="3E232AF0">
      <w:pPr>
        <w:pStyle w:val="65"/>
        <w:numPr>
          <w:ilvl w:val="0"/>
          <w:numId w:val="99"/>
        </w:numPr>
        <w:spacing w:after="200"/>
        <w:contextualSpacing/>
        <w:rPr>
          <w:rFonts w:ascii="Century Gothic" w:hAnsi="Century Gothic"/>
          <w:b/>
          <w:sz w:val="22"/>
          <w:szCs w:val="22"/>
          <w:lang w:val="es-MX"/>
        </w:rPr>
      </w:pPr>
      <w:r>
        <w:rPr>
          <w:rFonts w:ascii="Century Gothic" w:hAnsi="Century Gothic"/>
          <w:b/>
          <w:sz w:val="22"/>
          <w:szCs w:val="22"/>
          <w:lang w:val="es-MX"/>
        </w:rPr>
        <w:t>Conflictos de interés institucionales.</w:t>
      </w:r>
    </w:p>
    <w:p w14:paraId="66330AA2">
      <w:pPr>
        <w:pStyle w:val="65"/>
        <w:ind w:left="502"/>
        <w:rPr>
          <w:rFonts w:ascii="Century Gothic" w:hAnsi="Century Gothic"/>
          <w:b/>
          <w:sz w:val="22"/>
          <w:szCs w:val="22"/>
          <w:lang w:val="es-MX"/>
        </w:rPr>
      </w:pPr>
    </w:p>
    <w:p w14:paraId="4F2BD3B3">
      <w:pPr>
        <w:pStyle w:val="65"/>
        <w:ind w:left="502"/>
        <w:rPr>
          <w:rFonts w:ascii="Century Gothic" w:hAnsi="Century Gothic"/>
          <w:sz w:val="22"/>
          <w:szCs w:val="22"/>
          <w:lang w:val="es-MX"/>
        </w:rPr>
      </w:pPr>
      <w:r>
        <w:rPr>
          <w:rFonts w:ascii="Century Gothic" w:hAnsi="Century Gothic"/>
          <w:sz w:val="22"/>
          <w:szCs w:val="22"/>
          <w:lang w:val="es-MX"/>
        </w:rPr>
        <w:t>La prevención, manejo, solución y divulgación de los conflictos de intereses que se  pudieren presentar en la actividad desarrollada por la Entidad, se realizará dando estricto cumplimiento con las regulaciones contenidas al respecto en las normas legales</w:t>
      </w:r>
    </w:p>
    <w:p w14:paraId="5F65549D">
      <w:pPr>
        <w:pStyle w:val="65"/>
        <w:ind w:left="502"/>
        <w:rPr>
          <w:rFonts w:ascii="Century Gothic" w:hAnsi="Century Gothic"/>
          <w:b/>
          <w:sz w:val="22"/>
          <w:szCs w:val="22"/>
          <w:lang w:val="es-MX"/>
        </w:rPr>
      </w:pPr>
    </w:p>
    <w:p w14:paraId="4D6BFC07">
      <w:pPr>
        <w:pStyle w:val="65"/>
        <w:numPr>
          <w:ilvl w:val="0"/>
          <w:numId w:val="99"/>
        </w:numPr>
        <w:spacing w:after="200"/>
        <w:contextualSpacing/>
        <w:rPr>
          <w:rFonts w:ascii="Century Gothic" w:hAnsi="Century Gothic"/>
          <w:sz w:val="22"/>
          <w:szCs w:val="22"/>
          <w:lang w:val="es-MX"/>
        </w:rPr>
      </w:pPr>
      <w:r>
        <w:rPr>
          <w:rFonts w:ascii="Century Gothic" w:hAnsi="Century Gothic"/>
          <w:b/>
          <w:sz w:val="22"/>
          <w:szCs w:val="22"/>
          <w:lang w:val="es-MX"/>
        </w:rPr>
        <w:t>Vigentes.</w:t>
      </w:r>
      <w:r>
        <w:rPr>
          <w:rFonts w:ascii="Century Gothic" w:hAnsi="Century Gothic"/>
          <w:sz w:val="22"/>
          <w:szCs w:val="22"/>
          <w:lang w:val="es-MX"/>
        </w:rPr>
        <w:t xml:space="preserve"> </w:t>
      </w:r>
    </w:p>
    <w:p w14:paraId="42B06F16">
      <w:pPr>
        <w:pStyle w:val="65"/>
        <w:ind w:left="502"/>
        <w:rPr>
          <w:rFonts w:ascii="Century Gothic" w:hAnsi="Century Gothic"/>
          <w:sz w:val="22"/>
          <w:szCs w:val="22"/>
          <w:lang w:val="es-MX"/>
        </w:rPr>
      </w:pPr>
    </w:p>
    <w:p w14:paraId="05A270F8">
      <w:pPr>
        <w:pStyle w:val="65"/>
        <w:ind w:left="502"/>
        <w:rPr>
          <w:rFonts w:ascii="Century Gothic" w:hAnsi="Century Gothic"/>
          <w:sz w:val="22"/>
          <w:szCs w:val="22"/>
          <w:lang w:val="es-MX"/>
        </w:rPr>
      </w:pPr>
      <w:r>
        <w:rPr>
          <w:rFonts w:ascii="Century Gothic" w:hAnsi="Century Gothic"/>
          <w:sz w:val="22"/>
          <w:szCs w:val="22"/>
          <w:lang w:val="es-MX"/>
        </w:rPr>
        <w:t>Los Asociados, Directivos, Gerente y demás Empleados de la Entidad procurarán, que en las actuaciones de la Entidad no se presenten situaciones que puedan configurar conflictos de intereses.</w:t>
      </w:r>
    </w:p>
    <w:p w14:paraId="43D482A1">
      <w:pPr>
        <w:pStyle w:val="65"/>
        <w:ind w:left="502"/>
        <w:rPr>
          <w:rFonts w:ascii="Century Gothic" w:hAnsi="Century Gothic"/>
          <w:sz w:val="22"/>
          <w:szCs w:val="22"/>
          <w:lang w:val="es-MX"/>
        </w:rPr>
      </w:pPr>
    </w:p>
    <w:p w14:paraId="4AA43E98">
      <w:pPr>
        <w:pStyle w:val="65"/>
        <w:numPr>
          <w:ilvl w:val="0"/>
          <w:numId w:val="99"/>
        </w:numPr>
        <w:spacing w:after="200"/>
        <w:contextualSpacing/>
        <w:rPr>
          <w:rFonts w:ascii="Century Gothic" w:hAnsi="Century Gothic"/>
          <w:b/>
          <w:sz w:val="22"/>
          <w:szCs w:val="22"/>
          <w:lang w:val="es-MX"/>
        </w:rPr>
      </w:pPr>
      <w:r>
        <w:rPr>
          <w:rFonts w:ascii="Century Gothic" w:hAnsi="Century Gothic"/>
          <w:b/>
          <w:sz w:val="22"/>
          <w:szCs w:val="22"/>
          <w:lang w:val="es-MX"/>
        </w:rPr>
        <w:t>Conflictos de interés al interior del Consejo de Administración.</w:t>
      </w:r>
    </w:p>
    <w:p w14:paraId="1A021A79">
      <w:pPr>
        <w:pStyle w:val="65"/>
        <w:ind w:left="502"/>
        <w:rPr>
          <w:rFonts w:ascii="Century Gothic" w:hAnsi="Century Gothic"/>
          <w:b/>
          <w:sz w:val="22"/>
          <w:szCs w:val="22"/>
          <w:lang w:val="es-MX"/>
        </w:rPr>
      </w:pPr>
    </w:p>
    <w:p w14:paraId="5DBE51D9">
      <w:pPr>
        <w:pStyle w:val="65"/>
        <w:numPr>
          <w:ilvl w:val="0"/>
          <w:numId w:val="101"/>
        </w:numPr>
        <w:spacing w:after="200"/>
        <w:contextualSpacing/>
        <w:rPr>
          <w:rFonts w:ascii="Century Gothic" w:hAnsi="Century Gothic"/>
          <w:sz w:val="22"/>
          <w:szCs w:val="22"/>
          <w:lang w:val="es-MX"/>
        </w:rPr>
      </w:pPr>
      <w:r>
        <w:rPr>
          <w:rFonts w:ascii="Century Gothic" w:hAnsi="Century Gothic"/>
          <w:sz w:val="22"/>
          <w:szCs w:val="22"/>
          <w:lang w:val="es-MX"/>
        </w:rPr>
        <w:t>Los conflictos de interés que pudieren presentarse en los miembros del Consejo de Administración para la adopción de las decisiones sometidas a su consideración deberán ser puestos en conocimiento de dicho organismo, con el fin de que al interior del mismo  se determine si existe o no impedimento del(los) respectivo(s) miembro(s), para participar en la toma de la decisión.</w:t>
      </w:r>
    </w:p>
    <w:p w14:paraId="6956CD04">
      <w:pPr>
        <w:pStyle w:val="65"/>
        <w:numPr>
          <w:ilvl w:val="0"/>
          <w:numId w:val="101"/>
        </w:numPr>
        <w:spacing w:after="200"/>
        <w:contextualSpacing/>
        <w:rPr>
          <w:rFonts w:ascii="Century Gothic" w:hAnsi="Century Gothic"/>
          <w:sz w:val="22"/>
          <w:szCs w:val="22"/>
          <w:lang w:val="es-MX"/>
        </w:rPr>
      </w:pPr>
      <w:r>
        <w:rPr>
          <w:rFonts w:ascii="Century Gothic" w:hAnsi="Century Gothic"/>
          <w:sz w:val="22"/>
          <w:szCs w:val="22"/>
          <w:lang w:val="es-MX"/>
        </w:rPr>
        <w:t>Si el Consejo de Administración determina que no existe el conflicto, la decisión podrá ser adoptada por todos los miembros de dicho organismo, la cual deberá quedar debidamente documentada con base en criterios objetivos, para dejar constancia en el acta del Consejo de Administración sobre la transparencia de la operación.</w:t>
      </w:r>
    </w:p>
    <w:p w14:paraId="420414D4">
      <w:pPr>
        <w:pStyle w:val="65"/>
        <w:numPr>
          <w:ilvl w:val="0"/>
          <w:numId w:val="101"/>
        </w:numPr>
        <w:spacing w:after="200"/>
        <w:contextualSpacing/>
        <w:rPr>
          <w:rFonts w:ascii="Century Gothic" w:hAnsi="Century Gothic"/>
          <w:sz w:val="22"/>
          <w:szCs w:val="22"/>
          <w:lang w:val="es-MX"/>
        </w:rPr>
      </w:pPr>
      <w:r>
        <w:rPr>
          <w:rFonts w:ascii="Century Gothic" w:hAnsi="Century Gothic"/>
          <w:sz w:val="22"/>
          <w:szCs w:val="22"/>
          <w:lang w:val="es-MX"/>
        </w:rPr>
        <w:t>Si el Consejo de Administración establece la existencia del conflicto para el caso del(los) miembro(s) que ha(n) expresado la existencia del mismo, y el conflicto incluso llegare a afectar el quórum decisorio, el Consejo de Administración estudiará si a través de los mecanismos estatutarios se puede tomar la respectiva decisión; si acudiendo a este procedimiento se considerare que se mantiene el conflicto, la decisión deberá  ser  sometida a consideración de la Asamblea General de asociados.</w:t>
      </w:r>
    </w:p>
    <w:p w14:paraId="319FE4F4">
      <w:pPr>
        <w:pStyle w:val="65"/>
        <w:numPr>
          <w:ilvl w:val="0"/>
          <w:numId w:val="101"/>
        </w:numPr>
        <w:spacing w:after="200"/>
        <w:contextualSpacing/>
        <w:rPr>
          <w:rFonts w:ascii="Century Gothic" w:hAnsi="Century Gothic"/>
          <w:b/>
          <w:sz w:val="22"/>
          <w:szCs w:val="22"/>
          <w:lang w:val="es-MX"/>
        </w:rPr>
      </w:pPr>
      <w:r>
        <w:rPr>
          <w:rFonts w:ascii="Century Gothic" w:hAnsi="Century Gothic"/>
          <w:sz w:val="22"/>
          <w:szCs w:val="22"/>
          <w:lang w:val="es-MX"/>
        </w:rPr>
        <w:t>Los Consejeros evitarán toda operación o decisión que pueda generar conflicto de interés, por lo tanto deben abstenerse de formar parte de la administración de la Entidad, asumiendo un cargo distinto al que ostentan por elección de la Asamblea general.</w:t>
      </w:r>
    </w:p>
    <w:p w14:paraId="5E1F399C">
      <w:pPr>
        <w:pStyle w:val="65"/>
        <w:ind w:left="1222"/>
        <w:rPr>
          <w:rFonts w:ascii="Century Gothic" w:hAnsi="Century Gothic"/>
          <w:b/>
          <w:sz w:val="22"/>
          <w:szCs w:val="22"/>
          <w:lang w:val="es-MX"/>
        </w:rPr>
      </w:pPr>
    </w:p>
    <w:p w14:paraId="6EF1EEC2">
      <w:pPr>
        <w:pStyle w:val="65"/>
        <w:numPr>
          <w:ilvl w:val="0"/>
          <w:numId w:val="99"/>
        </w:numPr>
        <w:spacing w:after="200"/>
        <w:contextualSpacing/>
        <w:rPr>
          <w:rFonts w:ascii="Century Gothic" w:hAnsi="Century Gothic"/>
          <w:b/>
          <w:sz w:val="22"/>
          <w:szCs w:val="22"/>
          <w:lang w:val="es-MX"/>
        </w:rPr>
      </w:pPr>
      <w:r>
        <w:rPr>
          <w:rFonts w:ascii="Century Gothic" w:hAnsi="Century Gothic"/>
          <w:b/>
          <w:sz w:val="22"/>
          <w:szCs w:val="22"/>
          <w:lang w:val="es-MX"/>
        </w:rPr>
        <w:t>Conflictos de interés de los representantes legales y demás funcionarios.</w:t>
      </w:r>
    </w:p>
    <w:p w14:paraId="5261878E">
      <w:pPr>
        <w:pStyle w:val="65"/>
        <w:ind w:left="502"/>
        <w:rPr>
          <w:rFonts w:ascii="Century Gothic" w:hAnsi="Century Gothic"/>
          <w:b/>
          <w:sz w:val="22"/>
          <w:szCs w:val="22"/>
          <w:lang w:val="es-MX"/>
        </w:rPr>
      </w:pPr>
    </w:p>
    <w:p w14:paraId="029A2ED4">
      <w:pPr>
        <w:pStyle w:val="65"/>
        <w:numPr>
          <w:ilvl w:val="0"/>
          <w:numId w:val="102"/>
        </w:numPr>
        <w:spacing w:after="200"/>
        <w:contextualSpacing/>
        <w:rPr>
          <w:rFonts w:ascii="Century Gothic" w:hAnsi="Century Gothic"/>
          <w:b/>
          <w:sz w:val="22"/>
          <w:szCs w:val="22"/>
          <w:lang w:val="es-MX"/>
        </w:rPr>
      </w:pPr>
      <w:r>
        <w:rPr>
          <w:rFonts w:ascii="Century Gothic" w:hAnsi="Century Gothic"/>
          <w:sz w:val="22"/>
          <w:szCs w:val="22"/>
          <w:lang w:val="es-MX"/>
        </w:rPr>
        <w:t xml:space="preserve">Si el conflicto de intereses se presenta en la adopción de decisiones por parte de un representante legal o demás funcionarios de la entidad, estos deberán abstenerse  de actuar y la resolución del asunto se realizará por el funcionario o el  órgano social  que sea la instancia </w:t>
      </w:r>
    </w:p>
    <w:p w14:paraId="70031F21">
      <w:pPr>
        <w:pStyle w:val="65"/>
        <w:numPr>
          <w:ilvl w:val="0"/>
          <w:numId w:val="102"/>
        </w:numPr>
        <w:spacing w:after="200"/>
        <w:contextualSpacing/>
        <w:rPr>
          <w:rFonts w:ascii="Century Gothic" w:hAnsi="Century Gothic"/>
          <w:b/>
          <w:sz w:val="22"/>
          <w:szCs w:val="22"/>
          <w:lang w:val="es-MX"/>
        </w:rPr>
      </w:pPr>
      <w:r>
        <w:rPr>
          <w:rFonts w:ascii="Century Gothic" w:hAnsi="Century Gothic"/>
          <w:sz w:val="22"/>
          <w:szCs w:val="22"/>
          <w:lang w:val="es-MX"/>
        </w:rPr>
        <w:t>jerárquica inmediatamente superior dentro de la entidad.</w:t>
      </w:r>
    </w:p>
    <w:p w14:paraId="0CD6D6FA">
      <w:pPr>
        <w:pStyle w:val="65"/>
        <w:spacing w:after="200"/>
        <w:ind w:left="1222"/>
        <w:contextualSpacing/>
        <w:rPr>
          <w:rFonts w:ascii="Century Gothic" w:hAnsi="Century Gothic"/>
          <w:b/>
          <w:sz w:val="22"/>
          <w:szCs w:val="22"/>
          <w:lang w:val="es-MX"/>
        </w:rPr>
      </w:pPr>
    </w:p>
    <w:p w14:paraId="023C7B5B">
      <w:pPr>
        <w:pStyle w:val="65"/>
        <w:numPr>
          <w:ilvl w:val="1"/>
          <w:numId w:val="8"/>
        </w:numPr>
        <w:rPr>
          <w:rFonts w:ascii="Century Gothic" w:hAnsi="Century Gothic"/>
          <w:b/>
          <w:sz w:val="22"/>
          <w:szCs w:val="22"/>
          <w:lang w:val="es-MX"/>
        </w:rPr>
      </w:pPr>
      <w:r>
        <w:rPr>
          <w:rFonts w:ascii="Century Gothic" w:hAnsi="Century Gothic"/>
          <w:b/>
          <w:sz w:val="22"/>
          <w:szCs w:val="22"/>
          <w:lang w:val="es-MX"/>
        </w:rPr>
        <w:t xml:space="preserve"> </w:t>
      </w:r>
      <w:r>
        <w:rPr>
          <w:rFonts w:ascii="Century Gothic" w:hAnsi="Century Gothic"/>
          <w:b/>
          <w:sz w:val="22"/>
          <w:szCs w:val="22"/>
        </w:rPr>
        <w:t>DEL SISTEMA DE ADMISNITRACIÓN DE RIESGOS DE LAVADO DE ACTIVOS Y FINANCIACIÓN DEL TERRORISMO – SARLAFT.</w:t>
      </w:r>
    </w:p>
    <w:p w14:paraId="0957CF3C">
      <w:pPr>
        <w:pStyle w:val="65"/>
        <w:ind w:left="720"/>
        <w:rPr>
          <w:rFonts w:ascii="Century Gothic" w:hAnsi="Century Gothic"/>
          <w:b/>
          <w:sz w:val="22"/>
          <w:szCs w:val="22"/>
          <w:lang w:val="es-MX"/>
        </w:rPr>
      </w:pPr>
    </w:p>
    <w:p w14:paraId="427F4012">
      <w:pPr>
        <w:pStyle w:val="65"/>
        <w:ind w:left="720"/>
        <w:rPr>
          <w:rFonts w:ascii="Century Gothic" w:hAnsi="Century Gothic"/>
          <w:sz w:val="22"/>
          <w:szCs w:val="22"/>
        </w:rPr>
      </w:pPr>
      <w:r>
        <w:rPr>
          <w:rFonts w:ascii="Century Gothic" w:hAnsi="Century Gothic"/>
          <w:sz w:val="22"/>
          <w:szCs w:val="22"/>
        </w:rPr>
        <w:t>El lavado de Activos y la financiación del Terrorismo riñen con la ética profesional que rige el sector cooperativo. Por ello, ningún funcionario puede permitir que la Entidad sea utilizada como herramienta para ocultar, invertir, asegurar o atesorar recursos provenientes de actividades ilegales.</w:t>
      </w:r>
    </w:p>
    <w:p w14:paraId="26FD338D">
      <w:pPr>
        <w:pStyle w:val="65"/>
        <w:ind w:left="720"/>
        <w:rPr>
          <w:rFonts w:ascii="Century Gothic" w:hAnsi="Century Gothic"/>
          <w:sz w:val="22"/>
          <w:szCs w:val="22"/>
        </w:rPr>
      </w:pPr>
    </w:p>
    <w:p w14:paraId="157D26C5">
      <w:pPr>
        <w:pStyle w:val="65"/>
        <w:ind w:left="720"/>
        <w:rPr>
          <w:rFonts w:ascii="Century Gothic" w:hAnsi="Century Gothic" w:cs="Arial"/>
          <w:sz w:val="22"/>
          <w:szCs w:val="22"/>
        </w:rPr>
      </w:pPr>
      <w:r>
        <w:rPr>
          <w:rFonts w:ascii="Century Gothic" w:hAnsi="Century Gothic"/>
          <w:sz w:val="22"/>
          <w:szCs w:val="22"/>
          <w:lang w:val="es-MX"/>
        </w:rPr>
        <w:t xml:space="preserve">En cumplimiento de lo establecido en la Circular Básica Jurídica expedida por la Superintendencia de la Economía Solidaria, principalmente en el capítulo XI,  así como lo expresado en las CE 04/2017 y 14/2018 emanadas de  dicha instancia de control estatal; la Entidad ha adoptado el Sistema de Administración del Riesgo de Lavado de Activos y Financiación del Terrorismo, que busca ante todo que la minimizar </w:t>
      </w:r>
      <w:r>
        <w:rPr>
          <w:rFonts w:ascii="Century Gothic" w:hAnsi="Century Gothic" w:cs="Arial"/>
          <w:sz w:val="22"/>
          <w:szCs w:val="22"/>
        </w:rPr>
        <w:t>la exposición al riesgo de Lavado de Activos y Financiación del Terrorismos - LA/FT, creando los mecanismos, procedimientos y actividades necesarios para la prevención y control de este riesgo.</w:t>
      </w:r>
    </w:p>
    <w:p w14:paraId="5D96325F">
      <w:pPr>
        <w:pStyle w:val="65"/>
        <w:ind w:left="720"/>
        <w:rPr>
          <w:rFonts w:ascii="Century Gothic" w:hAnsi="Century Gothic" w:cs="Arial"/>
          <w:sz w:val="22"/>
          <w:szCs w:val="22"/>
        </w:rPr>
      </w:pPr>
    </w:p>
    <w:p w14:paraId="27A7705E">
      <w:pPr>
        <w:pStyle w:val="65"/>
        <w:ind w:left="720"/>
        <w:rPr>
          <w:rFonts w:ascii="Century Gothic" w:hAnsi="Century Gothic"/>
          <w:sz w:val="22"/>
          <w:szCs w:val="22"/>
          <w:lang w:val="es-MX"/>
        </w:rPr>
      </w:pPr>
      <w:r>
        <w:rPr>
          <w:rFonts w:ascii="Century Gothic" w:hAnsi="Century Gothic"/>
          <w:sz w:val="22"/>
          <w:szCs w:val="22"/>
          <w:lang w:val="es-MX"/>
        </w:rPr>
        <w:t>Por consiguiente, la Entidad ha estructurado un Manual de SARLAFT, documento que abarca las reglamentaciones existentes en la Circular Básica Jurídica, las CE 04/2017 y 14/2018  y demás normas que regulan la administración del riesgo, la Prevención y Control al Lavado de Activos y la Financiación del Terrorismo. En el entendido que es una obligación de nuestra entidad respaldar las  medidas de control que en torno al tema se establezcan, se consideró necesario difundir no solo las normas y procedimientos relacionados en forma directa con el tema, sino documentos adicionales que complementan e instruyen sobre el mismo.</w:t>
      </w:r>
    </w:p>
    <w:p w14:paraId="3E3E7C66">
      <w:pPr>
        <w:pStyle w:val="65"/>
        <w:ind w:left="720"/>
        <w:rPr>
          <w:rFonts w:ascii="Century Gothic" w:hAnsi="Century Gothic"/>
          <w:sz w:val="22"/>
          <w:szCs w:val="22"/>
          <w:lang w:val="es-MX"/>
        </w:rPr>
      </w:pPr>
    </w:p>
    <w:p w14:paraId="27FD429F">
      <w:pPr>
        <w:pStyle w:val="65"/>
        <w:ind w:left="720"/>
        <w:rPr>
          <w:rFonts w:ascii="Century Gothic" w:hAnsi="Century Gothic"/>
          <w:sz w:val="22"/>
          <w:szCs w:val="22"/>
          <w:lang w:val="es-MX"/>
        </w:rPr>
      </w:pPr>
      <w:r>
        <w:rPr>
          <w:rFonts w:ascii="Century Gothic" w:hAnsi="Century Gothic"/>
          <w:sz w:val="22"/>
          <w:szCs w:val="22"/>
          <w:lang w:val="es-MX"/>
        </w:rPr>
        <w:t>En el desarrollo del Manual se involucran entre otros los siguientes temas: políticas, generales, procedimientos, mecanismos e instrumentos, estructura organizacional, reportes relacionados con el SARLAFT, documentación y conservación de  los  mismos,  definiciones, normatividad, responsabilidades en razón a las personas comprometidas al interior de la organización, información general del lavado de activos, sanciones Legales, anexos utilizados entre otros.</w:t>
      </w:r>
    </w:p>
    <w:p w14:paraId="03EEB0B2">
      <w:pPr>
        <w:pStyle w:val="65"/>
        <w:ind w:left="720"/>
        <w:rPr>
          <w:rFonts w:ascii="Century Gothic" w:hAnsi="Century Gothic"/>
          <w:sz w:val="22"/>
          <w:szCs w:val="22"/>
          <w:lang w:val="es-MX"/>
        </w:rPr>
      </w:pPr>
    </w:p>
    <w:p w14:paraId="6CD61F52">
      <w:pPr>
        <w:pStyle w:val="65"/>
        <w:ind w:left="720"/>
        <w:rPr>
          <w:rFonts w:ascii="Century Gothic" w:hAnsi="Century Gothic"/>
          <w:sz w:val="22"/>
          <w:szCs w:val="22"/>
          <w:lang w:val="es-MX"/>
        </w:rPr>
      </w:pPr>
      <w:r>
        <w:rPr>
          <w:rFonts w:ascii="Century Gothic" w:hAnsi="Century Gothic"/>
          <w:sz w:val="22"/>
          <w:szCs w:val="22"/>
          <w:lang w:val="es-MX"/>
        </w:rPr>
        <w:t>Dicho manual ilustra acerca del tema para que protejamos a la Entidad, de aquellas personas que deseen utilizarla en el desarrollo de actividades ilícitas, toda vez que  estamos expuestas a ser utilizadas como instrumento para el Lavado de Activos y la Financiación del Terrorismo. El LA/FT, no solo se refiere a dinero sino a cualquier otra  clase de bienes tales como: inmuebles, vehículos, semovientes, bonos etc.</w:t>
      </w:r>
    </w:p>
    <w:p w14:paraId="5AC465DA">
      <w:pPr>
        <w:pStyle w:val="65"/>
        <w:ind w:left="720"/>
        <w:rPr>
          <w:rFonts w:ascii="Century Gothic" w:hAnsi="Century Gothic"/>
          <w:sz w:val="22"/>
          <w:szCs w:val="22"/>
          <w:lang w:val="es-MX"/>
        </w:rPr>
      </w:pPr>
    </w:p>
    <w:p w14:paraId="51F556E0">
      <w:pPr>
        <w:pStyle w:val="65"/>
        <w:ind w:left="720"/>
        <w:rPr>
          <w:rFonts w:ascii="Century Gothic" w:hAnsi="Century Gothic"/>
          <w:b/>
          <w:sz w:val="22"/>
          <w:szCs w:val="22"/>
          <w:lang w:val="es-MX"/>
        </w:rPr>
      </w:pPr>
      <w:r>
        <w:rPr>
          <w:rFonts w:ascii="Century Gothic" w:hAnsi="Century Gothic" w:cs="Arial"/>
          <w:sz w:val="22"/>
          <w:szCs w:val="22"/>
        </w:rPr>
        <w:t>El Manual de “SARLAFT” por su carácter normativo es de obligatorio cumplimiento por parte de los trabajadores, relacionados contractuales, asociados, Consejo de Administración, Junta de Vigilancia y Comités,   y deberá estar disponible para la consulta por parte de cualquier empleado y bajo la responsabilidad del Oficial de Cumplimiento. Toda consulta sobre la aplicación del Manual deberá formularse, al Oficial de Cumplimiento, a la Gerencia  o al Consejo de Administración de la Entidad, según sea el caso.</w:t>
      </w:r>
    </w:p>
    <w:p w14:paraId="4C12BE32">
      <w:pPr>
        <w:contextualSpacing/>
        <w:rPr>
          <w:rFonts w:ascii="Century Gothic" w:hAnsi="Century Gothic"/>
          <w:b/>
          <w:sz w:val="22"/>
          <w:szCs w:val="22"/>
          <w:lang w:val="es-MX"/>
        </w:rPr>
      </w:pPr>
    </w:p>
    <w:p w14:paraId="06175072">
      <w:pPr>
        <w:pStyle w:val="65"/>
        <w:numPr>
          <w:ilvl w:val="1"/>
          <w:numId w:val="8"/>
        </w:numPr>
        <w:contextualSpacing/>
        <w:rPr>
          <w:rFonts w:ascii="Century Gothic" w:hAnsi="Century Gothic"/>
          <w:sz w:val="22"/>
          <w:szCs w:val="22"/>
          <w:lang w:val="es-MX"/>
        </w:rPr>
      </w:pPr>
      <w:r>
        <w:rPr>
          <w:rFonts w:ascii="Century Gothic" w:hAnsi="Century Gothic"/>
          <w:b/>
          <w:sz w:val="22"/>
          <w:szCs w:val="22"/>
          <w:lang w:val="es-MX"/>
        </w:rPr>
        <w:t xml:space="preserve"> PROHIBICIONES</w:t>
      </w:r>
      <w:r>
        <w:rPr>
          <w:rFonts w:ascii="Century Gothic" w:hAnsi="Century Gothic"/>
          <w:sz w:val="22"/>
          <w:szCs w:val="22"/>
          <w:lang w:val="es-MX"/>
        </w:rPr>
        <w:t xml:space="preserve">. </w:t>
      </w:r>
    </w:p>
    <w:p w14:paraId="4775D571">
      <w:pPr>
        <w:contextualSpacing/>
        <w:rPr>
          <w:rFonts w:ascii="Century Gothic" w:hAnsi="Century Gothic"/>
          <w:sz w:val="22"/>
          <w:szCs w:val="22"/>
          <w:lang w:val="es-MX"/>
        </w:rPr>
      </w:pPr>
    </w:p>
    <w:p w14:paraId="0E8A3A74">
      <w:pPr>
        <w:contextualSpacing/>
        <w:rPr>
          <w:rFonts w:ascii="Century Gothic" w:hAnsi="Century Gothic"/>
          <w:sz w:val="22"/>
          <w:szCs w:val="22"/>
          <w:lang w:val="es-MX"/>
        </w:rPr>
      </w:pPr>
      <w:r>
        <w:rPr>
          <w:rFonts w:ascii="Century Gothic" w:hAnsi="Century Gothic"/>
          <w:sz w:val="22"/>
          <w:szCs w:val="22"/>
          <w:lang w:val="es-MX"/>
        </w:rPr>
        <w:t>Son situaciones que por sus características son altamente susceptibles de generar conflicto de interés. En virtud de tal razón, en algunos casos la ley y en otros la Entidad, consideran que evitar su práctica contribuye a mantener la transparencia en el desarrollo de los negocios.</w:t>
      </w:r>
    </w:p>
    <w:p w14:paraId="192A5F40">
      <w:pPr>
        <w:contextualSpacing/>
        <w:rPr>
          <w:rFonts w:ascii="Century Gothic" w:hAnsi="Century Gothic"/>
          <w:sz w:val="22"/>
          <w:szCs w:val="22"/>
          <w:lang w:val="es-MX"/>
        </w:rPr>
      </w:pPr>
    </w:p>
    <w:p w14:paraId="67F124EB">
      <w:pPr>
        <w:pStyle w:val="65"/>
        <w:numPr>
          <w:ilvl w:val="0"/>
          <w:numId w:val="103"/>
        </w:numPr>
        <w:spacing w:after="200"/>
        <w:contextualSpacing/>
        <w:rPr>
          <w:rFonts w:ascii="Century Gothic" w:hAnsi="Century Gothic"/>
          <w:b/>
          <w:sz w:val="22"/>
          <w:szCs w:val="22"/>
          <w:lang w:val="es-MX"/>
        </w:rPr>
      </w:pPr>
      <w:r>
        <w:rPr>
          <w:rFonts w:ascii="Century Gothic" w:hAnsi="Century Gothic"/>
          <w:b/>
          <w:sz w:val="22"/>
          <w:szCs w:val="22"/>
          <w:lang w:val="es-MX"/>
        </w:rPr>
        <w:t>Prohibiciones Institucionales</w:t>
      </w:r>
    </w:p>
    <w:p w14:paraId="29222EBA">
      <w:pPr>
        <w:pStyle w:val="65"/>
        <w:rPr>
          <w:rFonts w:ascii="Century Gothic" w:hAnsi="Century Gothic"/>
          <w:b/>
          <w:sz w:val="22"/>
          <w:szCs w:val="22"/>
          <w:lang w:val="es-MX"/>
        </w:rPr>
      </w:pPr>
    </w:p>
    <w:p w14:paraId="1F6769DE">
      <w:pPr>
        <w:pStyle w:val="65"/>
        <w:rPr>
          <w:rFonts w:ascii="Century Gothic" w:hAnsi="Century Gothic"/>
          <w:sz w:val="22"/>
          <w:szCs w:val="22"/>
          <w:lang w:val="es-MX"/>
        </w:rPr>
      </w:pPr>
      <w:r>
        <w:rPr>
          <w:rFonts w:ascii="Century Gothic" w:hAnsi="Century Gothic"/>
          <w:sz w:val="22"/>
          <w:szCs w:val="22"/>
          <w:lang w:val="es-MX"/>
        </w:rPr>
        <w:t>En la Entidad no le será permitido:</w:t>
      </w:r>
    </w:p>
    <w:p w14:paraId="5D552A63">
      <w:pPr>
        <w:widowControl w:val="0"/>
        <w:numPr>
          <w:ilvl w:val="0"/>
          <w:numId w:val="104"/>
        </w:numPr>
        <w:tabs>
          <w:tab w:val="left" w:pos="426"/>
        </w:tabs>
        <w:autoSpaceDE w:val="0"/>
        <w:autoSpaceDN w:val="0"/>
        <w:spacing w:after="200"/>
        <w:ind w:left="1066" w:hanging="357"/>
        <w:contextualSpacing/>
        <w:rPr>
          <w:rFonts w:ascii="Century Gothic" w:hAnsi="Century Gothic"/>
          <w:sz w:val="22"/>
          <w:szCs w:val="22"/>
        </w:rPr>
      </w:pPr>
      <w:r>
        <w:rPr>
          <w:rFonts w:ascii="Century Gothic" w:hAnsi="Century Gothic"/>
          <w:sz w:val="22"/>
          <w:szCs w:val="22"/>
        </w:rPr>
        <w:t>Establecer restricciones o llevar a cabo prácticas que impliquen discriminaciones sociales, económicas, religiosas o políticas.</w:t>
      </w:r>
    </w:p>
    <w:p w14:paraId="2747EF68">
      <w:pPr>
        <w:widowControl w:val="0"/>
        <w:numPr>
          <w:ilvl w:val="0"/>
          <w:numId w:val="104"/>
        </w:numPr>
        <w:tabs>
          <w:tab w:val="left" w:pos="426"/>
        </w:tabs>
        <w:autoSpaceDE w:val="0"/>
        <w:autoSpaceDN w:val="0"/>
        <w:spacing w:after="200"/>
        <w:ind w:left="1066" w:hanging="357"/>
        <w:contextualSpacing/>
        <w:rPr>
          <w:rFonts w:ascii="Century Gothic" w:hAnsi="Century Gothic"/>
          <w:sz w:val="22"/>
          <w:szCs w:val="22"/>
        </w:rPr>
      </w:pPr>
      <w:r>
        <w:rPr>
          <w:rFonts w:ascii="Century Gothic" w:hAnsi="Century Gothic"/>
          <w:sz w:val="22"/>
          <w:szCs w:val="22"/>
        </w:rPr>
        <w:t>Establecer con sociedades o personas mercantiles, convenios, combinaciones o acuerdos que hagan participar a éstas, directa o indirectamente, de los beneficios o prerrogativas que las leyes otorguen a las cooperativas y demás formas asociativas y solidarias de propiedad.</w:t>
      </w:r>
    </w:p>
    <w:p w14:paraId="0DB841A6">
      <w:pPr>
        <w:widowControl w:val="0"/>
        <w:numPr>
          <w:ilvl w:val="0"/>
          <w:numId w:val="104"/>
        </w:numPr>
        <w:tabs>
          <w:tab w:val="left" w:pos="426"/>
        </w:tabs>
        <w:autoSpaceDE w:val="0"/>
        <w:autoSpaceDN w:val="0"/>
        <w:spacing w:after="200"/>
        <w:ind w:left="1066" w:hanging="357"/>
        <w:contextualSpacing/>
        <w:rPr>
          <w:rFonts w:ascii="Century Gothic" w:hAnsi="Century Gothic"/>
          <w:sz w:val="22"/>
          <w:szCs w:val="22"/>
        </w:rPr>
      </w:pPr>
      <w:r>
        <w:rPr>
          <w:rFonts w:ascii="Century Gothic" w:hAnsi="Century Gothic"/>
          <w:sz w:val="22"/>
          <w:szCs w:val="22"/>
        </w:rPr>
        <w:t>Conceder ventajas o privilegios a los promotores, empleados, fundadores, o preferencias a una porción cualquiera de los aportes sociales.</w:t>
      </w:r>
    </w:p>
    <w:p w14:paraId="70BB411D">
      <w:pPr>
        <w:widowControl w:val="0"/>
        <w:numPr>
          <w:ilvl w:val="0"/>
          <w:numId w:val="104"/>
        </w:numPr>
        <w:tabs>
          <w:tab w:val="left" w:pos="426"/>
        </w:tabs>
        <w:autoSpaceDE w:val="0"/>
        <w:autoSpaceDN w:val="0"/>
        <w:spacing w:after="200"/>
        <w:ind w:left="1066" w:hanging="357"/>
        <w:contextualSpacing/>
        <w:rPr>
          <w:rFonts w:ascii="Century Gothic" w:hAnsi="Century Gothic"/>
          <w:sz w:val="22"/>
          <w:szCs w:val="22"/>
        </w:rPr>
      </w:pPr>
      <w:r>
        <w:rPr>
          <w:rFonts w:ascii="Century Gothic" w:hAnsi="Century Gothic"/>
          <w:sz w:val="22"/>
          <w:szCs w:val="22"/>
        </w:rPr>
        <w:t>Conceder a sus administradores, en desarrollo de las funciones propias de sus cargos, porcentajes, comisiones, prebendas, ventajas, privilegios o similares que perjudiquen el cumplimiento de su objeto social o afecten a la entidad.</w:t>
      </w:r>
    </w:p>
    <w:p w14:paraId="5ABDDE22">
      <w:pPr>
        <w:widowControl w:val="0"/>
        <w:numPr>
          <w:ilvl w:val="0"/>
          <w:numId w:val="104"/>
        </w:numPr>
        <w:tabs>
          <w:tab w:val="left" w:pos="426"/>
        </w:tabs>
        <w:autoSpaceDE w:val="0"/>
        <w:autoSpaceDN w:val="0"/>
        <w:spacing w:after="200"/>
        <w:ind w:left="1066" w:hanging="357"/>
        <w:contextualSpacing/>
        <w:rPr>
          <w:rFonts w:ascii="Century Gothic" w:hAnsi="Century Gothic"/>
          <w:sz w:val="22"/>
          <w:szCs w:val="22"/>
        </w:rPr>
      </w:pPr>
      <w:r>
        <w:rPr>
          <w:rFonts w:ascii="Century Gothic" w:hAnsi="Century Gothic"/>
          <w:sz w:val="22"/>
          <w:szCs w:val="22"/>
        </w:rPr>
        <w:t>Desarrollar actividades distintas a las estipuladas en su Estatuto.</w:t>
      </w:r>
    </w:p>
    <w:p w14:paraId="40FFAE12">
      <w:pPr>
        <w:widowControl w:val="0"/>
        <w:numPr>
          <w:ilvl w:val="0"/>
          <w:numId w:val="104"/>
        </w:numPr>
        <w:tabs>
          <w:tab w:val="left" w:pos="426"/>
        </w:tabs>
        <w:autoSpaceDE w:val="0"/>
        <w:autoSpaceDN w:val="0"/>
        <w:spacing w:after="200"/>
        <w:ind w:left="1066" w:hanging="357"/>
        <w:contextualSpacing/>
        <w:rPr>
          <w:rFonts w:ascii="Century Gothic" w:hAnsi="Century Gothic"/>
          <w:sz w:val="22"/>
          <w:szCs w:val="22"/>
        </w:rPr>
      </w:pPr>
      <w:r>
        <w:rPr>
          <w:rFonts w:ascii="Century Gothic" w:hAnsi="Century Gothic"/>
          <w:sz w:val="22"/>
          <w:szCs w:val="22"/>
        </w:rPr>
        <w:t>Transformarse en sociedad mercantil.</w:t>
      </w:r>
    </w:p>
    <w:p w14:paraId="2BC5BBB6">
      <w:pPr>
        <w:widowControl w:val="0"/>
        <w:tabs>
          <w:tab w:val="left" w:pos="426"/>
        </w:tabs>
        <w:autoSpaceDE w:val="0"/>
        <w:autoSpaceDN w:val="0"/>
        <w:ind w:left="1066"/>
        <w:contextualSpacing/>
        <w:rPr>
          <w:rFonts w:ascii="Century Gothic" w:hAnsi="Century Gothic"/>
          <w:sz w:val="22"/>
          <w:szCs w:val="22"/>
        </w:rPr>
      </w:pPr>
    </w:p>
    <w:p w14:paraId="5BBF006B">
      <w:pPr>
        <w:pStyle w:val="65"/>
        <w:widowControl w:val="0"/>
        <w:numPr>
          <w:ilvl w:val="0"/>
          <w:numId w:val="103"/>
        </w:numPr>
        <w:autoSpaceDE w:val="0"/>
        <w:autoSpaceDN w:val="0"/>
        <w:adjustRightInd w:val="0"/>
        <w:spacing w:after="200" w:line="249" w:lineRule="atLeast"/>
        <w:contextualSpacing/>
        <w:rPr>
          <w:rFonts w:ascii="Century Gothic" w:hAnsi="Century Gothic"/>
          <w:b/>
          <w:sz w:val="22"/>
          <w:szCs w:val="22"/>
          <w:lang w:val="es-MX"/>
        </w:rPr>
      </w:pPr>
      <w:r>
        <w:rPr>
          <w:rFonts w:ascii="Century Gothic" w:hAnsi="Century Gothic"/>
          <w:b/>
          <w:sz w:val="22"/>
          <w:szCs w:val="22"/>
          <w:lang w:val="es-MX"/>
        </w:rPr>
        <w:t xml:space="preserve">Prohibiciones y restricciones a los miembros principales y suplentes del Consejo de Administración y de   la Junta de Vigilancia </w:t>
      </w:r>
      <w:r>
        <w:rPr>
          <w:rFonts w:ascii="Century Gothic" w:hAnsi="Century Gothic" w:cs="Arial"/>
          <w:sz w:val="22"/>
          <w:szCs w:val="22"/>
        </w:rPr>
        <w:tab/>
      </w:r>
    </w:p>
    <w:p w14:paraId="497FF7C4">
      <w:pPr>
        <w:widowControl w:val="0"/>
        <w:numPr>
          <w:ilvl w:val="0"/>
          <w:numId w:val="105"/>
        </w:numPr>
        <w:autoSpaceDE w:val="0"/>
        <w:autoSpaceDN w:val="0"/>
        <w:adjustRightInd w:val="0"/>
        <w:spacing w:line="249" w:lineRule="atLeast"/>
        <w:rPr>
          <w:rFonts w:ascii="Century Gothic" w:hAnsi="Century Gothic" w:cs="Arial"/>
          <w:sz w:val="22"/>
          <w:szCs w:val="22"/>
        </w:rPr>
      </w:pPr>
      <w:r>
        <w:rPr>
          <w:rFonts w:ascii="Century Gothic" w:hAnsi="Century Gothic" w:cs="Arial"/>
          <w:sz w:val="22"/>
          <w:szCs w:val="22"/>
        </w:rPr>
        <w:t>Tomar determinaciones o asumir funciones administrativas, contables o disciplinarias a título personal o en conjunto.</w:t>
      </w:r>
    </w:p>
    <w:p w14:paraId="4D50ED73">
      <w:pPr>
        <w:widowControl w:val="0"/>
        <w:numPr>
          <w:ilvl w:val="0"/>
          <w:numId w:val="105"/>
        </w:numPr>
        <w:tabs>
          <w:tab w:val="right" w:pos="9139"/>
        </w:tabs>
        <w:autoSpaceDE w:val="0"/>
        <w:autoSpaceDN w:val="0"/>
        <w:adjustRightInd w:val="0"/>
        <w:spacing w:line="249" w:lineRule="atLeast"/>
        <w:rPr>
          <w:rFonts w:ascii="Century Gothic" w:hAnsi="Century Gothic" w:cs="Arial"/>
          <w:sz w:val="22"/>
          <w:szCs w:val="22"/>
        </w:rPr>
      </w:pPr>
      <w:r>
        <w:rPr>
          <w:rFonts w:ascii="Century Gothic" w:hAnsi="Century Gothic" w:cs="Arial"/>
          <w:sz w:val="22"/>
          <w:szCs w:val="22"/>
        </w:rPr>
        <w:t>Hacer comentarios y dar a conocer en privado o en público las determinaciones o asuntos que sean tratados en la reunión del Consejo de Administración y/ o junta de vigilancia</w:t>
      </w:r>
    </w:p>
    <w:p w14:paraId="34B2270D">
      <w:pPr>
        <w:widowControl w:val="0"/>
        <w:numPr>
          <w:ilvl w:val="0"/>
          <w:numId w:val="105"/>
        </w:numPr>
        <w:autoSpaceDE w:val="0"/>
        <w:autoSpaceDN w:val="0"/>
        <w:adjustRightInd w:val="0"/>
        <w:spacing w:line="249" w:lineRule="atLeast"/>
        <w:rPr>
          <w:rFonts w:ascii="Century Gothic" w:hAnsi="Century Gothic" w:cs="Arial"/>
          <w:sz w:val="22"/>
          <w:szCs w:val="22"/>
        </w:rPr>
      </w:pPr>
      <w:r>
        <w:rPr>
          <w:rFonts w:ascii="Century Gothic" w:hAnsi="Century Gothic" w:cs="Arial"/>
          <w:sz w:val="22"/>
          <w:szCs w:val="22"/>
        </w:rPr>
        <w:t>Presionar nombramientos o despidos que sean del resorte o atribuciones de la Gerencia.</w:t>
      </w:r>
    </w:p>
    <w:p w14:paraId="3190E222">
      <w:pPr>
        <w:widowControl w:val="0"/>
        <w:numPr>
          <w:ilvl w:val="0"/>
          <w:numId w:val="105"/>
        </w:numPr>
        <w:autoSpaceDE w:val="0"/>
        <w:autoSpaceDN w:val="0"/>
        <w:adjustRightInd w:val="0"/>
        <w:spacing w:line="249" w:lineRule="atLeast"/>
        <w:rPr>
          <w:rFonts w:ascii="Century Gothic" w:hAnsi="Century Gothic" w:cs="Arial"/>
          <w:sz w:val="22"/>
          <w:szCs w:val="22"/>
        </w:rPr>
      </w:pPr>
      <w:r>
        <w:rPr>
          <w:rFonts w:ascii="Century Gothic" w:hAnsi="Century Gothic" w:cs="Arial"/>
          <w:sz w:val="22"/>
          <w:szCs w:val="22"/>
        </w:rPr>
        <w:t>Está prohibido a los miembros del Consejo de Administración y Junta de Vigilancia, solicitar en forma directa información a los funcionarios, ya que toda solicitud de información debe ser solicitada en las reuniones ordinarias del Consejo y/o junta de vigilancia, o  por escrito antes de la reunión, para que allí sea entregada, y siempre será canalizada a través de la Gerencia</w:t>
      </w:r>
    </w:p>
    <w:p w14:paraId="1E4005F9">
      <w:pPr>
        <w:widowControl w:val="0"/>
        <w:numPr>
          <w:ilvl w:val="0"/>
          <w:numId w:val="105"/>
        </w:numPr>
        <w:autoSpaceDE w:val="0"/>
        <w:autoSpaceDN w:val="0"/>
        <w:adjustRightInd w:val="0"/>
        <w:spacing w:line="249" w:lineRule="atLeast"/>
        <w:rPr>
          <w:rFonts w:ascii="Century Gothic" w:hAnsi="Century Gothic" w:cs="Arial"/>
          <w:sz w:val="22"/>
          <w:szCs w:val="22"/>
        </w:rPr>
      </w:pPr>
      <w:r>
        <w:rPr>
          <w:rFonts w:ascii="Century Gothic" w:hAnsi="Century Gothic" w:cs="Arial"/>
          <w:sz w:val="22"/>
          <w:szCs w:val="22"/>
        </w:rPr>
        <w:t>Las demás que atenten contra la buena imagen de la institución o de sus órganos de administración y control y las que contemplen sus respectivos reglamentos.</w:t>
      </w:r>
    </w:p>
    <w:p w14:paraId="1931F036">
      <w:pPr>
        <w:contextualSpacing/>
        <w:rPr>
          <w:rFonts w:ascii="Century Gothic" w:hAnsi="Century Gothic"/>
          <w:sz w:val="22"/>
          <w:szCs w:val="22"/>
          <w:lang w:val="es-MX"/>
        </w:rPr>
      </w:pPr>
    </w:p>
    <w:p w14:paraId="2BD8F76C">
      <w:pPr>
        <w:pStyle w:val="65"/>
        <w:numPr>
          <w:ilvl w:val="0"/>
          <w:numId w:val="103"/>
        </w:numPr>
        <w:spacing w:after="200"/>
        <w:contextualSpacing/>
        <w:rPr>
          <w:rFonts w:ascii="Century Gothic" w:hAnsi="Century Gothic"/>
          <w:b/>
          <w:sz w:val="22"/>
          <w:szCs w:val="22"/>
          <w:lang w:val="es-MX"/>
        </w:rPr>
      </w:pPr>
      <w:r>
        <w:rPr>
          <w:rFonts w:ascii="Century Gothic" w:hAnsi="Century Gothic"/>
          <w:b/>
          <w:sz w:val="22"/>
          <w:szCs w:val="22"/>
          <w:lang w:val="es-MX"/>
        </w:rPr>
        <w:t>Prohibiciones a empleados.</w:t>
      </w:r>
    </w:p>
    <w:p w14:paraId="3D98BFBA">
      <w:pPr>
        <w:pStyle w:val="65"/>
        <w:rPr>
          <w:rFonts w:ascii="Century Gothic" w:hAnsi="Century Gothic"/>
          <w:b/>
          <w:sz w:val="22"/>
          <w:szCs w:val="22"/>
          <w:lang w:val="es-MX"/>
        </w:rPr>
      </w:pPr>
    </w:p>
    <w:p w14:paraId="28002614">
      <w:pPr>
        <w:pStyle w:val="65"/>
        <w:numPr>
          <w:ilvl w:val="0"/>
          <w:numId w:val="106"/>
        </w:numPr>
        <w:spacing w:after="200"/>
        <w:contextualSpacing/>
        <w:rPr>
          <w:rFonts w:ascii="Century Gothic" w:hAnsi="Century Gothic"/>
          <w:b/>
          <w:sz w:val="22"/>
          <w:szCs w:val="22"/>
          <w:lang w:val="es-MX"/>
        </w:rPr>
      </w:pPr>
      <w:r>
        <w:rPr>
          <w:rFonts w:ascii="Century Gothic" w:hAnsi="Century Gothic"/>
          <w:sz w:val="22"/>
          <w:szCs w:val="22"/>
          <w:lang w:val="es-MX"/>
        </w:rPr>
        <w:t>Los empleados se abstendrán de hacer uso indebido de la información que hayan conocido por razón o con ocasión de sus funciones, con el fin de obtener provecho para sí ó para un tercero.</w:t>
      </w:r>
    </w:p>
    <w:p w14:paraId="28C18923">
      <w:pPr>
        <w:pStyle w:val="65"/>
        <w:numPr>
          <w:ilvl w:val="0"/>
          <w:numId w:val="106"/>
        </w:numPr>
        <w:spacing w:after="200"/>
        <w:contextualSpacing/>
        <w:rPr>
          <w:rFonts w:ascii="Century Gothic" w:hAnsi="Century Gothic"/>
          <w:b/>
          <w:sz w:val="22"/>
          <w:szCs w:val="22"/>
          <w:lang w:val="es-MX"/>
        </w:rPr>
      </w:pPr>
      <w:r>
        <w:rPr>
          <w:rFonts w:ascii="Century Gothic" w:hAnsi="Century Gothic"/>
          <w:sz w:val="22"/>
          <w:szCs w:val="22"/>
          <w:lang w:val="es-MX"/>
        </w:rPr>
        <w:t>La información acerca de los asociados, vinculados o no, a la Entidad, es estrictamente confidencial y deberá hallarse debidamente protegida.</w:t>
      </w:r>
    </w:p>
    <w:p w14:paraId="23B6BC36">
      <w:pPr>
        <w:pStyle w:val="65"/>
        <w:numPr>
          <w:ilvl w:val="0"/>
          <w:numId w:val="106"/>
        </w:numPr>
        <w:spacing w:after="200"/>
        <w:contextualSpacing/>
        <w:rPr>
          <w:rFonts w:ascii="Century Gothic" w:hAnsi="Century Gothic"/>
          <w:b/>
          <w:sz w:val="22"/>
          <w:szCs w:val="22"/>
          <w:lang w:val="es-MX"/>
        </w:rPr>
      </w:pPr>
      <w:r>
        <w:rPr>
          <w:rFonts w:ascii="Century Gothic" w:hAnsi="Century Gothic"/>
          <w:sz w:val="22"/>
          <w:szCs w:val="22"/>
          <w:lang w:val="es-MX"/>
        </w:rPr>
        <w:t>Los funcionarios se abstendrán de divulgar información interna de la Entidad que corresponda al giro normal de sus negocios, así como todo lo pertinente  a  códigos, claves, programas, sistemas de operación y secretos comerciales.</w:t>
      </w:r>
    </w:p>
    <w:p w14:paraId="345F3BCF">
      <w:pPr>
        <w:pStyle w:val="65"/>
        <w:numPr>
          <w:ilvl w:val="0"/>
          <w:numId w:val="106"/>
        </w:numPr>
        <w:spacing w:after="200"/>
        <w:contextualSpacing/>
        <w:rPr>
          <w:rFonts w:ascii="Century Gothic" w:hAnsi="Century Gothic"/>
          <w:b/>
          <w:sz w:val="22"/>
          <w:szCs w:val="22"/>
          <w:lang w:val="es-MX"/>
        </w:rPr>
      </w:pPr>
      <w:r>
        <w:rPr>
          <w:rFonts w:ascii="Century Gothic" w:hAnsi="Century Gothic"/>
          <w:sz w:val="22"/>
          <w:szCs w:val="22"/>
          <w:lang w:val="es-MX"/>
        </w:rPr>
        <w:t>Los funcionarios no podrán ofrecer, solicitar o aceptar bonificaciones personales, comisiones, u otro tipo de contraprestación.</w:t>
      </w:r>
    </w:p>
    <w:p w14:paraId="44864605">
      <w:pPr>
        <w:pStyle w:val="65"/>
        <w:numPr>
          <w:ilvl w:val="0"/>
          <w:numId w:val="106"/>
        </w:numPr>
        <w:spacing w:after="200"/>
        <w:contextualSpacing/>
        <w:rPr>
          <w:rFonts w:ascii="Century Gothic" w:hAnsi="Century Gothic"/>
          <w:b/>
          <w:sz w:val="22"/>
          <w:szCs w:val="22"/>
          <w:lang w:val="es-MX"/>
        </w:rPr>
      </w:pPr>
      <w:r>
        <w:rPr>
          <w:rFonts w:ascii="Century Gothic" w:hAnsi="Century Gothic"/>
          <w:sz w:val="22"/>
          <w:szCs w:val="22"/>
          <w:lang w:val="es-MX"/>
        </w:rPr>
        <w:t>Los funcionarios no podrán Informar a los asociados de las Gestiones Administrativas o Judiciales que adelanten en su contra las autoridades competentes o los estamentos de control de la Entidad.</w:t>
      </w:r>
    </w:p>
    <w:p w14:paraId="6E391524">
      <w:pPr>
        <w:pStyle w:val="65"/>
        <w:numPr>
          <w:ilvl w:val="0"/>
          <w:numId w:val="106"/>
        </w:numPr>
        <w:spacing w:after="200"/>
        <w:contextualSpacing/>
        <w:rPr>
          <w:rFonts w:ascii="Century Gothic" w:hAnsi="Century Gothic"/>
          <w:b/>
          <w:sz w:val="22"/>
          <w:szCs w:val="22"/>
          <w:lang w:val="es-MX"/>
        </w:rPr>
      </w:pPr>
      <w:r>
        <w:rPr>
          <w:rFonts w:ascii="Century Gothic" w:hAnsi="Century Gothic"/>
          <w:sz w:val="22"/>
          <w:szCs w:val="22"/>
          <w:lang w:val="es-MX"/>
        </w:rPr>
        <w:t>Los funcionarios no podrán adquirir compromisos a nombre de la Entidad sin    la debida autorización previa y competente.</w:t>
      </w:r>
    </w:p>
    <w:p w14:paraId="1EECF26D">
      <w:pPr>
        <w:pStyle w:val="65"/>
        <w:numPr>
          <w:ilvl w:val="0"/>
          <w:numId w:val="106"/>
        </w:numPr>
        <w:spacing w:after="200"/>
        <w:contextualSpacing/>
        <w:rPr>
          <w:rFonts w:ascii="Century Gothic" w:hAnsi="Century Gothic"/>
          <w:b/>
          <w:sz w:val="22"/>
          <w:szCs w:val="22"/>
          <w:lang w:val="es-MX"/>
        </w:rPr>
      </w:pPr>
      <w:r>
        <w:rPr>
          <w:rFonts w:ascii="Century Gothic" w:hAnsi="Century Gothic"/>
          <w:sz w:val="22"/>
          <w:szCs w:val="22"/>
          <w:lang w:val="es-MX"/>
        </w:rPr>
        <w:t>No tomar decisiones como empleado en función de sus intereses personales.</w:t>
      </w:r>
    </w:p>
    <w:p w14:paraId="031D0C41">
      <w:pPr>
        <w:pStyle w:val="65"/>
        <w:numPr>
          <w:ilvl w:val="0"/>
          <w:numId w:val="106"/>
        </w:numPr>
        <w:spacing w:after="200"/>
        <w:contextualSpacing/>
        <w:rPr>
          <w:rFonts w:ascii="Century Gothic" w:hAnsi="Century Gothic"/>
          <w:b/>
          <w:sz w:val="22"/>
          <w:szCs w:val="22"/>
          <w:lang w:val="es-MX"/>
        </w:rPr>
      </w:pPr>
      <w:r>
        <w:rPr>
          <w:rFonts w:ascii="Century Gothic" w:hAnsi="Century Gothic"/>
          <w:sz w:val="22"/>
          <w:szCs w:val="22"/>
          <w:lang w:val="es-MX"/>
        </w:rPr>
        <w:t>No realizar acciones que generen escándalos financieros o que pongan en duda la integridad de la Entidad.</w:t>
      </w:r>
    </w:p>
    <w:p w14:paraId="0C6BC620">
      <w:pPr>
        <w:pStyle w:val="65"/>
        <w:numPr>
          <w:ilvl w:val="0"/>
          <w:numId w:val="106"/>
        </w:numPr>
        <w:spacing w:after="200"/>
        <w:contextualSpacing/>
        <w:rPr>
          <w:rFonts w:ascii="Century Gothic" w:hAnsi="Century Gothic"/>
          <w:b/>
          <w:sz w:val="22"/>
          <w:szCs w:val="22"/>
          <w:lang w:val="es-MX"/>
        </w:rPr>
      </w:pPr>
      <w:r>
        <w:rPr>
          <w:rFonts w:ascii="Century Gothic" w:hAnsi="Century Gothic"/>
          <w:sz w:val="22"/>
          <w:szCs w:val="22"/>
          <w:lang w:val="es-MX"/>
        </w:rPr>
        <w:t>Cuando se tenga conocimiento de cualquier transacción cuestionable o posiblemente ilegal que afecte a la Entidad, se debe informar oportunamente sobre estas acciones al superior responsable.</w:t>
      </w:r>
    </w:p>
    <w:p w14:paraId="1D9C690F">
      <w:pPr>
        <w:pStyle w:val="65"/>
        <w:numPr>
          <w:ilvl w:val="0"/>
          <w:numId w:val="106"/>
        </w:numPr>
        <w:spacing w:after="200"/>
        <w:contextualSpacing/>
        <w:rPr>
          <w:rFonts w:ascii="Century Gothic" w:hAnsi="Century Gothic"/>
          <w:b/>
          <w:sz w:val="22"/>
          <w:szCs w:val="22"/>
          <w:lang w:val="es-MX"/>
        </w:rPr>
      </w:pPr>
      <w:r>
        <w:rPr>
          <w:rFonts w:ascii="Century Gothic" w:hAnsi="Century Gothic"/>
          <w:sz w:val="22"/>
          <w:szCs w:val="22"/>
          <w:lang w:val="es-MX"/>
        </w:rPr>
        <w:t>Abusar de su condición de directivo, empleado, funcionarios o colaborador de la entidad para obtener beneficios, para sí o para terceros relacionados con los productos o servicios que prestan a la entidad, ni para obtener beneficios  personales de proveedores, contratistas, asociados y usuarios.</w:t>
      </w:r>
    </w:p>
    <w:p w14:paraId="3B302E84">
      <w:pPr>
        <w:pStyle w:val="65"/>
        <w:numPr>
          <w:ilvl w:val="0"/>
          <w:numId w:val="106"/>
        </w:numPr>
        <w:spacing w:after="200"/>
        <w:contextualSpacing/>
        <w:rPr>
          <w:rFonts w:ascii="Century Gothic" w:hAnsi="Century Gothic"/>
          <w:b/>
          <w:sz w:val="22"/>
          <w:szCs w:val="22"/>
          <w:lang w:val="es-MX"/>
        </w:rPr>
      </w:pPr>
      <w:r>
        <w:rPr>
          <w:rFonts w:ascii="Century Gothic" w:hAnsi="Century Gothic"/>
          <w:sz w:val="22"/>
          <w:szCs w:val="22"/>
          <w:lang w:val="es-MX"/>
        </w:rPr>
        <w:t>Realizar consultas de clientes a las Centrales de Riesgo,  sin  la  debida autorización.</w:t>
      </w:r>
    </w:p>
    <w:p w14:paraId="42754D57">
      <w:pPr>
        <w:contextualSpacing/>
        <w:rPr>
          <w:rFonts w:ascii="Century Gothic" w:hAnsi="Century Gothic"/>
          <w:sz w:val="22"/>
          <w:szCs w:val="22"/>
          <w:lang w:val="es-MX"/>
        </w:rPr>
      </w:pPr>
    </w:p>
    <w:p w14:paraId="2924DA6C">
      <w:pPr>
        <w:pStyle w:val="65"/>
        <w:numPr>
          <w:ilvl w:val="1"/>
          <w:numId w:val="8"/>
        </w:numPr>
        <w:contextualSpacing/>
        <w:rPr>
          <w:rFonts w:ascii="Century Gothic" w:hAnsi="Century Gothic"/>
          <w:sz w:val="22"/>
          <w:szCs w:val="22"/>
          <w:lang w:val="es-MX"/>
        </w:rPr>
      </w:pPr>
      <w:r>
        <w:rPr>
          <w:rFonts w:ascii="Century Gothic" w:hAnsi="Century Gothic"/>
          <w:b/>
          <w:sz w:val="22"/>
          <w:szCs w:val="22"/>
          <w:lang w:val="es-MX"/>
        </w:rPr>
        <w:t xml:space="preserve">   DE LAS SANCIONES ADMINSITRATIVAS</w:t>
      </w:r>
      <w:r>
        <w:rPr>
          <w:rFonts w:ascii="Century Gothic" w:hAnsi="Century Gothic"/>
          <w:sz w:val="22"/>
          <w:szCs w:val="22"/>
          <w:lang w:val="es-MX"/>
        </w:rPr>
        <w:t xml:space="preserve">  </w:t>
      </w:r>
    </w:p>
    <w:p w14:paraId="18E221A6">
      <w:pPr>
        <w:pStyle w:val="65"/>
        <w:ind w:left="720"/>
        <w:contextualSpacing/>
        <w:rPr>
          <w:rFonts w:ascii="Century Gothic" w:hAnsi="Century Gothic"/>
          <w:sz w:val="22"/>
          <w:szCs w:val="22"/>
          <w:lang w:val="es-MX"/>
        </w:rPr>
      </w:pPr>
    </w:p>
    <w:p w14:paraId="05DC3695">
      <w:pPr>
        <w:pStyle w:val="65"/>
        <w:numPr>
          <w:ilvl w:val="0"/>
          <w:numId w:val="107"/>
        </w:numPr>
        <w:spacing w:after="200"/>
        <w:contextualSpacing/>
        <w:rPr>
          <w:rFonts w:ascii="Century Gothic" w:hAnsi="Century Gothic"/>
          <w:sz w:val="22"/>
          <w:szCs w:val="22"/>
          <w:lang w:val="es-MX"/>
        </w:rPr>
      </w:pPr>
      <w:r>
        <w:rPr>
          <w:rFonts w:ascii="Century Gothic" w:hAnsi="Century Gothic"/>
          <w:sz w:val="22"/>
          <w:szCs w:val="22"/>
          <w:lang w:val="es-MX"/>
        </w:rPr>
        <w:t>La   sanción   implica  la posibilidad de ocurrencia de acciones que están en contra de lo que normalmente se considera límites éticos o que están en contra de restricciones legales y que obedecen a actitudes irresponsables, permisivas,  negligentes,  ineficientes  u omisivas en el  desarrollo comercial y operacional de la institución, lo que acarrea una serie de sanciones para los funcionarios responsables que serán impuestas por organismos del estado o por la propia institución según el caso.</w:t>
      </w:r>
    </w:p>
    <w:p w14:paraId="6C26A155">
      <w:pPr>
        <w:pStyle w:val="65"/>
        <w:numPr>
          <w:ilvl w:val="0"/>
          <w:numId w:val="107"/>
        </w:numPr>
        <w:spacing w:after="200"/>
        <w:contextualSpacing/>
        <w:rPr>
          <w:rFonts w:ascii="Century Gothic" w:hAnsi="Century Gothic"/>
          <w:sz w:val="22"/>
          <w:szCs w:val="22"/>
          <w:lang w:val="es-MX"/>
        </w:rPr>
      </w:pPr>
      <w:r>
        <w:rPr>
          <w:rFonts w:ascii="Century Gothic" w:hAnsi="Century Gothic"/>
          <w:sz w:val="22"/>
          <w:szCs w:val="22"/>
          <w:lang w:val="es-MX"/>
        </w:rPr>
        <w:t>Es responsabilidad de cada uno de los funcionarios, velar por el cumplimiento de las disposiciones legales e internas. La inobservancia de los postulados adoptados en el presente código de ética, en el reglamento interno de trabajo y en los manuales  y  circulares de procedimientos implementados en la entidad, constituirá falta grave  que  motivará despido por justa causa, sin detrimento de las acciones judiciales a que haya  lugar de acuerdo con las normas legales, disposiciones de la Superintendencia de la Economía Solidaria de Colombia y Ley 1872 de 1992, Administración de impuestos, Reglamento Interno de Trabajo, Régimen sancionatorio del Estatuto Tributario, Código de Comercio y otras normativas pertinentes  a la actividad que desarrolla la Entidad.</w:t>
      </w:r>
    </w:p>
    <w:p w14:paraId="2108245B">
      <w:pPr>
        <w:pStyle w:val="65"/>
        <w:numPr>
          <w:ilvl w:val="0"/>
          <w:numId w:val="107"/>
        </w:numPr>
        <w:spacing w:after="200"/>
        <w:contextualSpacing/>
        <w:rPr>
          <w:rFonts w:ascii="Century Gothic" w:hAnsi="Century Gothic"/>
          <w:sz w:val="22"/>
          <w:szCs w:val="22"/>
          <w:lang w:val="es-MX"/>
        </w:rPr>
      </w:pPr>
      <w:r>
        <w:rPr>
          <w:rFonts w:ascii="Century Gothic" w:hAnsi="Century Gothic"/>
          <w:sz w:val="22"/>
          <w:szCs w:val="22"/>
          <w:lang w:val="es-MX"/>
        </w:rPr>
        <w:t>El Representante Legal, y demás funcionarios de la Entidad velarán por  el cumplimiento estricto de las normas y procedimientos, serán los directos responsables en  la atención y respuesta de los requerimientos que le formulen las autoridades de control y vigilancia.</w:t>
      </w:r>
    </w:p>
    <w:p w14:paraId="50676EE1">
      <w:pPr>
        <w:pStyle w:val="65"/>
        <w:numPr>
          <w:ilvl w:val="0"/>
          <w:numId w:val="107"/>
        </w:numPr>
        <w:spacing w:after="200"/>
        <w:contextualSpacing/>
        <w:rPr>
          <w:rFonts w:ascii="Century Gothic" w:hAnsi="Century Gothic"/>
          <w:sz w:val="22"/>
          <w:szCs w:val="22"/>
          <w:lang w:val="es-MX"/>
        </w:rPr>
      </w:pPr>
      <w:r>
        <w:rPr>
          <w:rFonts w:ascii="Century Gothic" w:hAnsi="Century Gothic"/>
          <w:sz w:val="22"/>
          <w:szCs w:val="22"/>
          <w:lang w:val="es-MX"/>
        </w:rPr>
        <w:t>La Gerencia de la Entidad,  evaluará el grado   de cumplimiento de las normas y los procedimientos institucionales, para detectar desviaciones y tomar los correctivos necesarios y si es del  caso aplicar las sanciones a  que haya lugar (llamados de atención, suspensión del cargo, multas, terminación del contrato, etc.).</w:t>
      </w:r>
    </w:p>
    <w:p w14:paraId="2B1593F1">
      <w:pPr>
        <w:pStyle w:val="65"/>
        <w:ind w:left="502"/>
        <w:rPr>
          <w:rFonts w:ascii="Century Gothic" w:hAnsi="Century Gothic"/>
          <w:sz w:val="22"/>
          <w:szCs w:val="22"/>
          <w:lang w:val="es-MX"/>
        </w:rPr>
      </w:pPr>
    </w:p>
    <w:p w14:paraId="75D95519">
      <w:pPr>
        <w:pStyle w:val="65"/>
        <w:numPr>
          <w:ilvl w:val="0"/>
          <w:numId w:val="108"/>
        </w:numPr>
        <w:spacing w:after="200"/>
        <w:contextualSpacing/>
        <w:rPr>
          <w:rFonts w:ascii="Century Gothic" w:hAnsi="Century Gothic"/>
          <w:b/>
          <w:sz w:val="22"/>
          <w:szCs w:val="22"/>
          <w:lang w:val="es-MX"/>
        </w:rPr>
      </w:pPr>
      <w:r>
        <w:rPr>
          <w:rFonts w:ascii="Century Gothic" w:hAnsi="Century Gothic"/>
          <w:b/>
          <w:sz w:val="22"/>
          <w:szCs w:val="22"/>
          <w:lang w:val="es-MX"/>
        </w:rPr>
        <w:t>MOTIVOS DE CARÁCTER EXTERNO</w:t>
      </w:r>
    </w:p>
    <w:p w14:paraId="2DA2840A">
      <w:pPr>
        <w:pStyle w:val="65"/>
        <w:rPr>
          <w:rFonts w:ascii="Century Gothic" w:hAnsi="Century Gothic"/>
          <w:b/>
          <w:sz w:val="22"/>
          <w:szCs w:val="22"/>
          <w:lang w:val="es-MX"/>
        </w:rPr>
      </w:pPr>
    </w:p>
    <w:p w14:paraId="4EB03319">
      <w:pPr>
        <w:pStyle w:val="65"/>
        <w:rPr>
          <w:rFonts w:ascii="Century Gothic" w:hAnsi="Century Gothic"/>
          <w:sz w:val="22"/>
          <w:szCs w:val="22"/>
          <w:lang w:val="es-MX"/>
        </w:rPr>
      </w:pPr>
      <w:r>
        <w:rPr>
          <w:rFonts w:ascii="Century Gothic" w:hAnsi="Century Gothic"/>
          <w:sz w:val="22"/>
          <w:szCs w:val="22"/>
          <w:lang w:val="es-MX"/>
        </w:rPr>
        <w:t>Cuando el Superintendente de la Economía Solidaria exige la remoción inmediata del representante legal, funcionario o empleado infractor de una norma legal o reglamento de carácter interno, la Entidad debe cancelar el contrato de trabajo con justa causa, medida que se toma en concordancia con el Artículo 58,  numeral  1-2-5 y 6  del Código Sustantivo de trabajo e iniciarle el respectivo proceso de desvinculación de la Entidad.</w:t>
      </w:r>
    </w:p>
    <w:p w14:paraId="58A51A27">
      <w:pPr>
        <w:pStyle w:val="65"/>
        <w:rPr>
          <w:rFonts w:ascii="Century Gothic" w:hAnsi="Century Gothic"/>
          <w:b/>
          <w:sz w:val="22"/>
          <w:szCs w:val="22"/>
          <w:lang w:val="es-MX"/>
        </w:rPr>
      </w:pPr>
    </w:p>
    <w:p w14:paraId="50E91C5D">
      <w:pPr>
        <w:pStyle w:val="65"/>
        <w:numPr>
          <w:ilvl w:val="0"/>
          <w:numId w:val="108"/>
        </w:numPr>
        <w:spacing w:after="200"/>
        <w:contextualSpacing/>
        <w:rPr>
          <w:rFonts w:ascii="Century Gothic" w:hAnsi="Century Gothic"/>
          <w:b/>
          <w:sz w:val="22"/>
          <w:szCs w:val="22"/>
          <w:lang w:val="es-MX"/>
        </w:rPr>
      </w:pPr>
      <w:r>
        <w:rPr>
          <w:rFonts w:ascii="Century Gothic" w:hAnsi="Century Gothic"/>
          <w:b/>
          <w:sz w:val="22"/>
          <w:szCs w:val="22"/>
          <w:lang w:val="es-MX"/>
        </w:rPr>
        <w:t>MOTIVOS DE CARÁCTER INTERNO</w:t>
      </w:r>
    </w:p>
    <w:p w14:paraId="19F1FF98">
      <w:pPr>
        <w:pStyle w:val="65"/>
        <w:rPr>
          <w:rFonts w:ascii="Century Gothic" w:hAnsi="Century Gothic"/>
          <w:b/>
          <w:sz w:val="22"/>
          <w:szCs w:val="22"/>
          <w:lang w:val="es-MX"/>
        </w:rPr>
      </w:pPr>
    </w:p>
    <w:p w14:paraId="73E71B98">
      <w:pPr>
        <w:pStyle w:val="65"/>
        <w:rPr>
          <w:rFonts w:ascii="Century Gothic" w:hAnsi="Century Gothic"/>
          <w:sz w:val="22"/>
          <w:szCs w:val="22"/>
          <w:lang w:val="es-MX"/>
        </w:rPr>
      </w:pPr>
      <w:r>
        <w:rPr>
          <w:rFonts w:ascii="Century Gothic" w:hAnsi="Century Gothic"/>
          <w:sz w:val="22"/>
          <w:szCs w:val="22"/>
          <w:lang w:val="es-MX"/>
        </w:rPr>
        <w:t xml:space="preserve">Cuando el representante legal o cualquier funcionario de la Entidad ha violado las disposiciones contenidas en este código, reglamento interno de trabajo  y  demás normas vigentes o de los hechos u omisiones a que se refieren las disposiciones legales que se mencionan en los diferentes capítulos del presente manual, o los hechos u omisiones que modifican o adicionen tales normas o infringido cualquiera de los hechos  que a continuación se indican, se calificarán como </w:t>
      </w:r>
      <w:r>
        <w:rPr>
          <w:rFonts w:ascii="Century Gothic" w:hAnsi="Century Gothic"/>
          <w:b/>
          <w:sz w:val="22"/>
          <w:szCs w:val="22"/>
          <w:lang w:val="es-MX"/>
        </w:rPr>
        <w:t>faltas graves</w:t>
      </w:r>
      <w:r>
        <w:rPr>
          <w:rFonts w:ascii="Century Gothic" w:hAnsi="Century Gothic"/>
          <w:sz w:val="22"/>
          <w:szCs w:val="22"/>
          <w:lang w:val="es-MX"/>
        </w:rPr>
        <w:t>:</w:t>
      </w:r>
    </w:p>
    <w:p w14:paraId="041A8AF6">
      <w:pPr>
        <w:pStyle w:val="65"/>
        <w:rPr>
          <w:rFonts w:ascii="Century Gothic" w:hAnsi="Century Gothic"/>
          <w:b/>
          <w:sz w:val="22"/>
          <w:szCs w:val="22"/>
          <w:lang w:val="es-MX"/>
        </w:rPr>
      </w:pPr>
    </w:p>
    <w:p w14:paraId="0951B2D9">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Establecer una relación de negocios con un cliente sin tener en cuenta las instrucciones y procedimientos internos emitidos para tal fin, aun cuando se trate   de personas recomendadas.</w:t>
      </w:r>
    </w:p>
    <w:p w14:paraId="1E46DA25">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Divulgar información privada de la institución a entes externos o funcionarios cuyo cargo no requiere del conocimiento de la misma.</w:t>
      </w:r>
    </w:p>
    <w:p w14:paraId="1F2B7078">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Informar a los asociados sobre gestiones administrativas  o  judiciales  que adelanten en su contra las autoridades competentes, o los estamentos de control.</w:t>
      </w:r>
    </w:p>
    <w:p w14:paraId="608679D1">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Desatender requerimientos de la SES, de la Unidad de Información y Análisis Financiero UIAF, de la Fiscalía General de la Nación o de cualquier otra autoridad competente, bien sea omitido u ocultando información.</w:t>
      </w:r>
    </w:p>
    <w:p w14:paraId="21FC390B">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Retardo u omisión de funciones asignadas, por negligencia o arbitrariedad comprobada "A sabiendas de que no lo debe hacer, lo hace y viceversa".</w:t>
      </w:r>
    </w:p>
    <w:p w14:paraId="642526F9">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Recibir de clientes o terceros interesados obsequios, en efectivo o en especie, que comprometan decisiones del funcionario y de la entidad.</w:t>
      </w:r>
    </w:p>
    <w:p w14:paraId="0054FF58">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Acudir a la institución en estado de embriaguez, o bajo el efecto de narcóticos o drogas enervantes.</w:t>
      </w:r>
    </w:p>
    <w:p w14:paraId="57D48120">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Utilizar a título particular servicios o recursos de la entidad en beneficio propio, directa o indirectamente a través de terceros, sin que medie autorización del estamento encargado de ello.</w:t>
      </w:r>
    </w:p>
    <w:p w14:paraId="0E6A7E46">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Intervenir en horas laborales en manifestaciones o reuniones públicas de partidos políticos.</w:t>
      </w:r>
    </w:p>
    <w:p w14:paraId="267AF688">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Discriminar o favorecer clientes, terceros o compañeros en desarrollo de sus funciones en razón a su afiliación política, credo religioso o raza.</w:t>
      </w:r>
    </w:p>
    <w:p w14:paraId="56509499">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Mantener ocultos conflictos de interés (propios o de terceros), sin reportar en su oportunidad la situación presentada.</w:t>
      </w:r>
    </w:p>
    <w:p w14:paraId="6C619F93">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Realizar o permitir actos de fraude en relación con el reconocimiento y pago de intereses, comisiones, compras, gastos, etc.</w:t>
      </w:r>
    </w:p>
    <w:p w14:paraId="7833BD1D">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Expedir certificaciones y constancias que no correspondan a la realidad de los hechos certificados por parte de personas no autorizadas.</w:t>
      </w:r>
    </w:p>
    <w:p w14:paraId="73EB0555">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Omitir la imposición de sanciones al personal a cargo.</w:t>
      </w:r>
    </w:p>
    <w:p w14:paraId="1A387B34">
      <w:pPr>
        <w:pStyle w:val="65"/>
        <w:numPr>
          <w:ilvl w:val="0"/>
          <w:numId w:val="109"/>
        </w:numPr>
        <w:spacing w:after="200"/>
        <w:contextualSpacing/>
        <w:rPr>
          <w:rFonts w:ascii="Century Gothic" w:hAnsi="Century Gothic"/>
          <w:sz w:val="22"/>
          <w:szCs w:val="22"/>
          <w:lang w:val="es-MX"/>
        </w:rPr>
      </w:pPr>
      <w:r>
        <w:rPr>
          <w:rFonts w:ascii="Century Gothic" w:hAnsi="Century Gothic"/>
          <w:sz w:val="22"/>
          <w:szCs w:val="22"/>
          <w:lang w:val="es-MX"/>
        </w:rPr>
        <w:t>Los demás actos u omisiones que la ley o el reglamento interno de trabajo definan como de mala conducta.</w:t>
      </w:r>
    </w:p>
    <w:p w14:paraId="0A7F3FCA">
      <w:pPr>
        <w:contextualSpacing/>
        <w:rPr>
          <w:rFonts w:ascii="Century Gothic" w:hAnsi="Century Gothic"/>
          <w:sz w:val="22"/>
          <w:szCs w:val="22"/>
          <w:lang w:val="es-MX"/>
        </w:rPr>
      </w:pPr>
      <w:r>
        <w:rPr>
          <w:rFonts w:ascii="Century Gothic" w:hAnsi="Century Gothic"/>
          <w:sz w:val="22"/>
          <w:szCs w:val="22"/>
          <w:lang w:val="es-MX"/>
        </w:rPr>
        <w:t>De presentarse una situación, calificada como falta grave, que comprometa a algún funcionario de la Entidad, una vez aplicada la desvinculación de la empresa, la Junta  de Vigilancia deberá iniciar un proceso de desvinculación de la Entidad, sin detrimento del debido proceso.</w:t>
      </w:r>
    </w:p>
    <w:p w14:paraId="6D8C8691">
      <w:pPr>
        <w:contextualSpacing/>
        <w:rPr>
          <w:rFonts w:ascii="Century Gothic" w:hAnsi="Century Gothic"/>
          <w:sz w:val="22"/>
          <w:szCs w:val="22"/>
          <w:lang w:val="es-MX"/>
        </w:rPr>
      </w:pPr>
    </w:p>
    <w:p w14:paraId="4EBEE0CE">
      <w:pPr>
        <w:pStyle w:val="65"/>
        <w:numPr>
          <w:ilvl w:val="1"/>
          <w:numId w:val="8"/>
        </w:numPr>
        <w:contextualSpacing/>
        <w:rPr>
          <w:rFonts w:ascii="Century Gothic" w:hAnsi="Century Gothic"/>
          <w:b/>
          <w:sz w:val="22"/>
          <w:szCs w:val="22"/>
          <w:lang w:val="es-MX"/>
        </w:rPr>
      </w:pPr>
      <w:r>
        <w:rPr>
          <w:rFonts w:ascii="Century Gothic" w:hAnsi="Century Gothic"/>
          <w:b/>
          <w:sz w:val="22"/>
          <w:szCs w:val="22"/>
          <w:lang w:val="es-MX"/>
        </w:rPr>
        <w:t xml:space="preserve"> PUBLICACIÓN Y CONOCIMIENTO DEL CÓDIGO DE ETICA Y CONDUCTA. </w:t>
      </w:r>
    </w:p>
    <w:p w14:paraId="0BC31010">
      <w:pPr>
        <w:contextualSpacing/>
        <w:rPr>
          <w:rFonts w:ascii="Century Gothic" w:hAnsi="Century Gothic"/>
          <w:b/>
          <w:sz w:val="22"/>
          <w:szCs w:val="22"/>
          <w:lang w:val="es-MX"/>
        </w:rPr>
      </w:pPr>
    </w:p>
    <w:p w14:paraId="554BE564">
      <w:pPr>
        <w:contextualSpacing/>
        <w:rPr>
          <w:rFonts w:ascii="Century Gothic" w:hAnsi="Century Gothic"/>
          <w:sz w:val="22"/>
          <w:szCs w:val="22"/>
          <w:lang w:val="es-MX"/>
        </w:rPr>
      </w:pPr>
      <w:r>
        <w:rPr>
          <w:rFonts w:ascii="Century Gothic" w:hAnsi="Century Gothic"/>
          <w:sz w:val="22"/>
          <w:szCs w:val="22"/>
          <w:lang w:val="es-MX"/>
        </w:rPr>
        <w:t>El Código de ética y conducta, aprobado por el Consejo de Administración deberá ser publicado y conocido por todos las personas a las cuales aplica. Cuando se posesionen nuevos directivos, o funcionarios  estos deberán conocer este documento, teniendo en cuenta que el mismo enmarca a la Entidad dentro de principios de respeto, responsabilidad, transparencia, confianza y sociabilidad, que permiten el crecimiento armónico de la institución. Es responsabilidad de la Dirección de Gestión Humana o en su defecto la Gerencia, entregar el folleto o cuadernillo respectivo.</w:t>
      </w:r>
    </w:p>
    <w:p w14:paraId="5BAC1447">
      <w:pPr>
        <w:contextualSpacing/>
        <w:rPr>
          <w:rFonts w:ascii="Century Gothic" w:hAnsi="Century Gothic"/>
          <w:sz w:val="22"/>
          <w:szCs w:val="22"/>
          <w:lang w:val="es-MX"/>
        </w:rPr>
      </w:pPr>
    </w:p>
    <w:p w14:paraId="7392D7A8">
      <w:pPr>
        <w:contextualSpacing/>
        <w:rPr>
          <w:rFonts w:ascii="Century Gothic" w:hAnsi="Century Gothic"/>
          <w:sz w:val="22"/>
          <w:szCs w:val="22"/>
          <w:lang w:val="es-MX"/>
        </w:rPr>
      </w:pPr>
      <w:r>
        <w:rPr>
          <w:rFonts w:ascii="Century Gothic" w:hAnsi="Century Gothic"/>
          <w:sz w:val="22"/>
          <w:szCs w:val="22"/>
          <w:lang w:val="es-MX"/>
        </w:rPr>
        <w:t>El presente código será objeto de revisión y actualización cada vez que los órganos de dirección y administración lo consideren necesario.</w:t>
      </w:r>
    </w:p>
    <w:p w14:paraId="63684F80">
      <w:pPr>
        <w:contextualSpacing/>
        <w:rPr>
          <w:rFonts w:ascii="Century Gothic" w:hAnsi="Century Gothic"/>
          <w:sz w:val="22"/>
          <w:szCs w:val="22"/>
          <w:lang w:val="es-MX"/>
        </w:rPr>
      </w:pPr>
    </w:p>
    <w:p w14:paraId="33BECAED">
      <w:pPr>
        <w:rPr>
          <w:rFonts w:ascii="Century Gothic" w:hAnsi="Century Gothic"/>
          <w:sz w:val="22"/>
          <w:szCs w:val="22"/>
          <w:lang w:val="es-MX"/>
        </w:rPr>
      </w:pPr>
    </w:p>
    <w:p w14:paraId="6BDA1A3E">
      <w:pPr>
        <w:rPr>
          <w:rFonts w:ascii="Century Gothic" w:hAnsi="Century Gothic" w:cs="Arial"/>
          <w:sz w:val="22"/>
          <w:szCs w:val="22"/>
          <w:lang w:val="es-MX" w:eastAsia="en-US"/>
        </w:rPr>
      </w:pPr>
    </w:p>
    <w:p w14:paraId="2AE9F711">
      <w:pPr>
        <w:autoSpaceDE w:val="0"/>
        <w:autoSpaceDN w:val="0"/>
        <w:adjustRightInd w:val="0"/>
        <w:jc w:val="center"/>
        <w:rPr>
          <w:rFonts w:ascii="Century Gothic" w:hAnsi="Century Gothic" w:cs="Arial"/>
          <w:b/>
          <w:bCs/>
          <w:sz w:val="22"/>
          <w:szCs w:val="22"/>
          <w:lang w:eastAsia="es-CO"/>
        </w:rPr>
      </w:pPr>
    </w:p>
    <w:p w14:paraId="6CB81207">
      <w:pPr>
        <w:autoSpaceDE w:val="0"/>
        <w:autoSpaceDN w:val="0"/>
        <w:adjustRightInd w:val="0"/>
        <w:jc w:val="center"/>
        <w:rPr>
          <w:rFonts w:ascii="Century Gothic" w:hAnsi="Century Gothic" w:cs="Arial"/>
          <w:b/>
          <w:bCs/>
          <w:sz w:val="22"/>
          <w:szCs w:val="22"/>
          <w:lang w:eastAsia="es-CO"/>
        </w:rPr>
      </w:pPr>
    </w:p>
    <w:p w14:paraId="6C9881FD">
      <w:pPr>
        <w:autoSpaceDE w:val="0"/>
        <w:autoSpaceDN w:val="0"/>
        <w:adjustRightInd w:val="0"/>
        <w:jc w:val="center"/>
        <w:rPr>
          <w:rFonts w:ascii="Century Gothic" w:hAnsi="Century Gothic" w:cs="Arial"/>
          <w:b/>
          <w:bCs/>
          <w:sz w:val="22"/>
          <w:szCs w:val="22"/>
          <w:lang w:eastAsia="es-CO"/>
        </w:rPr>
      </w:pPr>
    </w:p>
    <w:p w14:paraId="4369D64D">
      <w:pPr>
        <w:autoSpaceDE w:val="0"/>
        <w:autoSpaceDN w:val="0"/>
        <w:adjustRightInd w:val="0"/>
        <w:rPr>
          <w:rFonts w:ascii="Century Gothic" w:hAnsi="Century Gothic" w:cs="Arial"/>
          <w:b/>
          <w:bCs/>
          <w:sz w:val="22"/>
          <w:szCs w:val="22"/>
          <w:lang w:eastAsia="es-CO"/>
        </w:rPr>
      </w:pPr>
    </w:p>
    <w:p w14:paraId="54F67093">
      <w:pPr>
        <w:autoSpaceDE w:val="0"/>
        <w:autoSpaceDN w:val="0"/>
        <w:adjustRightInd w:val="0"/>
        <w:rPr>
          <w:rFonts w:ascii="Century Gothic" w:hAnsi="Century Gothic" w:cs="Arial"/>
          <w:b/>
          <w:bCs/>
          <w:sz w:val="22"/>
          <w:szCs w:val="22"/>
          <w:lang w:eastAsia="es-CO"/>
        </w:rPr>
      </w:pPr>
    </w:p>
    <w:p w14:paraId="0D49967D">
      <w:pPr>
        <w:autoSpaceDE w:val="0"/>
        <w:autoSpaceDN w:val="0"/>
        <w:adjustRightInd w:val="0"/>
        <w:rPr>
          <w:rFonts w:ascii="Century Gothic" w:hAnsi="Century Gothic" w:cs="Arial"/>
          <w:b/>
          <w:bCs/>
          <w:sz w:val="22"/>
          <w:szCs w:val="22"/>
          <w:lang w:eastAsia="es-CO"/>
        </w:rPr>
      </w:pPr>
    </w:p>
    <w:p w14:paraId="5B1F0024">
      <w:pPr>
        <w:autoSpaceDE w:val="0"/>
        <w:autoSpaceDN w:val="0"/>
        <w:adjustRightInd w:val="0"/>
        <w:rPr>
          <w:rFonts w:ascii="Century Gothic" w:hAnsi="Century Gothic" w:cs="Arial"/>
          <w:b/>
          <w:bCs/>
          <w:sz w:val="22"/>
          <w:szCs w:val="22"/>
          <w:lang w:eastAsia="es-CO"/>
        </w:rPr>
      </w:pPr>
    </w:p>
    <w:p w14:paraId="785A373D">
      <w:pPr>
        <w:pStyle w:val="65"/>
        <w:numPr>
          <w:ilvl w:val="0"/>
          <w:numId w:val="8"/>
        </w:numPr>
        <w:autoSpaceDE w:val="0"/>
        <w:autoSpaceDN w:val="0"/>
        <w:adjustRightInd w:val="0"/>
        <w:jc w:val="center"/>
        <w:rPr>
          <w:rFonts w:ascii="Century Gothic" w:hAnsi="Century Gothic" w:cs="Arial"/>
          <w:b/>
          <w:bCs/>
          <w:sz w:val="22"/>
          <w:szCs w:val="22"/>
          <w:lang w:eastAsia="es-CO"/>
        </w:rPr>
      </w:pPr>
      <w:r>
        <w:rPr>
          <w:rFonts w:ascii="Century Gothic" w:hAnsi="Century Gothic" w:cs="Arial"/>
          <w:b/>
          <w:bCs/>
          <w:sz w:val="22"/>
          <w:szCs w:val="22"/>
          <w:lang w:eastAsia="es-CO"/>
        </w:rPr>
        <w:t>SANCIONES.</w:t>
      </w:r>
    </w:p>
    <w:p w14:paraId="38060A75">
      <w:pPr>
        <w:pStyle w:val="65"/>
        <w:autoSpaceDE w:val="0"/>
        <w:autoSpaceDN w:val="0"/>
        <w:adjustRightInd w:val="0"/>
        <w:ind w:left="585"/>
        <w:rPr>
          <w:rFonts w:ascii="Century Gothic" w:hAnsi="Century Gothic" w:cs="Arial"/>
          <w:b/>
          <w:bCs/>
          <w:sz w:val="22"/>
          <w:szCs w:val="22"/>
          <w:lang w:eastAsia="es-CO"/>
        </w:rPr>
      </w:pPr>
    </w:p>
    <w:p w14:paraId="225296D6">
      <w:pPr>
        <w:rPr>
          <w:rFonts w:ascii="Century Gothic" w:hAnsi="Century Gothic" w:cs="Arial"/>
          <w:sz w:val="22"/>
          <w:szCs w:val="22"/>
          <w:lang w:eastAsia="en-US"/>
        </w:rPr>
      </w:pPr>
      <w:r>
        <w:rPr>
          <w:rFonts w:ascii="Century Gothic" w:hAnsi="Century Gothic" w:cs="Arial"/>
          <w:sz w:val="22"/>
          <w:szCs w:val="22"/>
          <w:lang w:eastAsia="en-US"/>
        </w:rPr>
        <w:t>El incumplimiento de las disposiciones en materia de Prevención y Control del Lavado de Activos y Financiación del Terrorismo dará lugar a la imposición de las sanciones administrativas señaladas en los numerales 6 y 7 del artículo 36 de la Ley 454 de 1998, numerales 1 y 2 del artículo 2 del Decreto 186 de 2004 en concordancia con lo previsto en el artículo 107 del Estatuto Orgánico del Sistema Financiero, sin perjuicio de las consecuencias penales a que hubiere lugar.</w:t>
      </w:r>
    </w:p>
    <w:p w14:paraId="557147DD">
      <w:pPr>
        <w:rPr>
          <w:rFonts w:ascii="Century Gothic" w:hAnsi="Century Gothic" w:cs="Arial"/>
          <w:sz w:val="22"/>
          <w:szCs w:val="22"/>
          <w:lang w:eastAsia="en-US"/>
        </w:rPr>
      </w:pPr>
    </w:p>
    <w:p w14:paraId="7E38510F">
      <w:pPr>
        <w:rPr>
          <w:rFonts w:ascii="Century Gothic" w:hAnsi="Century Gothic" w:cs="Arial"/>
          <w:sz w:val="22"/>
          <w:szCs w:val="22"/>
          <w:lang w:eastAsia="en-US"/>
        </w:rPr>
      </w:pPr>
      <w:r>
        <w:rPr>
          <w:rFonts w:ascii="Century Gothic" w:hAnsi="Century Gothic" w:cs="Arial"/>
          <w:sz w:val="22"/>
          <w:szCs w:val="22"/>
          <w:lang w:eastAsia="en-US"/>
        </w:rPr>
        <w:t>Es responsabilidad de cada uno de los funcionarios de la Entidad velar por el cumplimiento de las disposiciones legales e internas. La inobservancia de los postulados adoptados en el Código de buen Gobierno , en el reglamento interno de trabajo, en los manuales, reglamentos y procedimientos implantados en la Entidad, constituirá falta grave que motivará despido por justa causa, sin detrimento de las acciones judiciales a que haya lugar de acuerdo con las normas legales, Reglamento Interno de Trabajo, etc.</w:t>
      </w:r>
    </w:p>
    <w:p w14:paraId="16FC0C63">
      <w:pPr>
        <w:rPr>
          <w:rFonts w:ascii="Century Gothic" w:hAnsi="Century Gothic" w:cs="Arial"/>
          <w:sz w:val="22"/>
          <w:szCs w:val="22"/>
          <w:highlight w:val="green"/>
          <w:lang w:eastAsia="en-US"/>
        </w:rPr>
      </w:pPr>
    </w:p>
    <w:p w14:paraId="20BA0044">
      <w:pPr>
        <w:rPr>
          <w:rFonts w:ascii="Century Gothic" w:hAnsi="Century Gothic" w:cs="Arial"/>
          <w:b/>
          <w:bCs/>
          <w:sz w:val="22"/>
          <w:szCs w:val="22"/>
          <w:lang w:eastAsia="en-US"/>
        </w:rPr>
      </w:pPr>
      <w:r>
        <w:rPr>
          <w:rFonts w:ascii="Century Gothic" w:hAnsi="Century Gothic" w:cs="Arial"/>
          <w:b/>
          <w:bCs/>
          <w:sz w:val="22"/>
          <w:szCs w:val="22"/>
          <w:lang w:eastAsia="en-US"/>
        </w:rPr>
        <w:t>Sanciones</w:t>
      </w:r>
      <w:r>
        <w:rPr>
          <w:rFonts w:ascii="Century Gothic" w:hAnsi="Century Gothic" w:cs="Arial"/>
          <w:sz w:val="22"/>
          <w:szCs w:val="22"/>
          <w:lang w:eastAsia="en-US"/>
        </w:rPr>
        <w:t xml:space="preserve"> </w:t>
      </w:r>
      <w:r>
        <w:rPr>
          <w:rFonts w:ascii="Century Gothic" w:hAnsi="Century Gothic" w:cs="Arial"/>
          <w:b/>
          <w:bCs/>
          <w:sz w:val="22"/>
          <w:szCs w:val="22"/>
          <w:lang w:eastAsia="en-US"/>
        </w:rPr>
        <w:t>Estatales</w:t>
      </w:r>
    </w:p>
    <w:p w14:paraId="255C1082">
      <w:pPr>
        <w:rPr>
          <w:rFonts w:ascii="Century Gothic" w:hAnsi="Century Gothic" w:cs="Arial"/>
          <w:sz w:val="22"/>
          <w:szCs w:val="22"/>
          <w:lang w:eastAsia="en-US"/>
        </w:rPr>
      </w:pPr>
    </w:p>
    <w:p w14:paraId="1AA8F6D7">
      <w:pPr>
        <w:rPr>
          <w:rFonts w:ascii="Century Gothic" w:hAnsi="Century Gothic" w:cs="Arial"/>
          <w:sz w:val="22"/>
          <w:szCs w:val="22"/>
          <w:lang w:eastAsia="en-US"/>
        </w:rPr>
      </w:pPr>
      <w:r>
        <w:rPr>
          <w:rFonts w:ascii="Century Gothic" w:hAnsi="Century Gothic" w:cs="Arial"/>
          <w:sz w:val="22"/>
          <w:szCs w:val="22"/>
          <w:lang w:eastAsia="en-US"/>
        </w:rPr>
        <w:t>La Ley 1357 de 12 noviembre de 2009 establece que en la omisión de reportes sobre transacciones en efectivo, movilización o almacenamiento de dinero en efectivo que “aquellos sujetos sometidos a control de la UIAF que deliberadamente omitan el cumplimiento de los reportes a esta entidad para las transacciones en efectivo o para la movilización o para el almacenamiento de dinero en efectivo, incurrirán, por esta sola conducta en prisión de 38 a 128 meses y multa de 133.33 a 15.000 salarios mínimos legales vigentes.</w:t>
      </w:r>
    </w:p>
    <w:p w14:paraId="5F124A2E">
      <w:pPr>
        <w:rPr>
          <w:rFonts w:ascii="Century Gothic" w:hAnsi="Century Gothic" w:cs="Arial"/>
          <w:sz w:val="22"/>
          <w:szCs w:val="22"/>
          <w:lang w:eastAsia="en-US"/>
        </w:rPr>
      </w:pPr>
    </w:p>
    <w:p w14:paraId="5BB4A9C4">
      <w:pPr>
        <w:rPr>
          <w:rFonts w:ascii="Century Gothic" w:hAnsi="Century Gothic" w:cs="Arial"/>
          <w:sz w:val="22"/>
          <w:szCs w:val="22"/>
          <w:lang w:eastAsia="en-US"/>
        </w:rPr>
      </w:pPr>
      <w:r>
        <w:rPr>
          <w:rFonts w:ascii="Century Gothic" w:hAnsi="Century Gothic" w:cs="Arial"/>
          <w:sz w:val="22"/>
          <w:szCs w:val="22"/>
          <w:lang w:eastAsia="en-US"/>
        </w:rPr>
        <w:t>Para los miembros del Consejo de Administración, Representante Legal, administrador o empleados de la Entidad que con el fin de ocultar o encubrir el origen ilícito del dinero omita el cumplimiento de alguno o todos los mecanismo de control establecidos por el ordenamiento jurídico para las transacciones en efectivo, incurrirá, por esa sola conducta en prisión de 38 a 128 meses y multa de 133.33 a 15.000 salarios mínimos legales mensuales vigentes.</w:t>
      </w:r>
    </w:p>
    <w:p w14:paraId="3CE1A2FD">
      <w:pPr>
        <w:rPr>
          <w:rFonts w:ascii="Century Gothic" w:hAnsi="Century Gothic" w:cs="Arial"/>
          <w:sz w:val="22"/>
          <w:szCs w:val="22"/>
          <w:lang w:eastAsia="en-US"/>
        </w:rPr>
      </w:pPr>
    </w:p>
    <w:p w14:paraId="44040F4B">
      <w:pPr>
        <w:rPr>
          <w:rFonts w:ascii="Century Gothic" w:hAnsi="Century Gothic" w:cs="Arial"/>
          <w:b/>
          <w:bCs/>
          <w:sz w:val="22"/>
          <w:szCs w:val="22"/>
          <w:lang w:eastAsia="en-US"/>
        </w:rPr>
      </w:pPr>
      <w:r>
        <w:rPr>
          <w:rFonts w:ascii="Century Gothic" w:hAnsi="Century Gothic" w:cs="Arial"/>
          <w:b/>
          <w:bCs/>
          <w:sz w:val="22"/>
          <w:szCs w:val="22"/>
          <w:lang w:eastAsia="en-US"/>
        </w:rPr>
        <w:t>Sanciones</w:t>
      </w:r>
      <w:r>
        <w:rPr>
          <w:rFonts w:ascii="Century Gothic" w:hAnsi="Century Gothic" w:cs="Arial"/>
          <w:sz w:val="22"/>
          <w:szCs w:val="22"/>
          <w:lang w:eastAsia="en-US"/>
        </w:rPr>
        <w:t xml:space="preserve"> </w:t>
      </w:r>
      <w:r>
        <w:rPr>
          <w:rFonts w:ascii="Century Gothic" w:hAnsi="Century Gothic" w:cs="Arial"/>
          <w:b/>
          <w:bCs/>
          <w:sz w:val="22"/>
          <w:szCs w:val="22"/>
          <w:lang w:eastAsia="en-US"/>
        </w:rPr>
        <w:t>Civiles</w:t>
      </w:r>
    </w:p>
    <w:p w14:paraId="57F20046">
      <w:pPr>
        <w:rPr>
          <w:rFonts w:ascii="Century Gothic" w:hAnsi="Century Gothic" w:cs="Arial"/>
          <w:b/>
          <w:bCs/>
          <w:sz w:val="22"/>
          <w:szCs w:val="22"/>
          <w:lang w:eastAsia="en-US"/>
        </w:rPr>
      </w:pPr>
    </w:p>
    <w:p w14:paraId="1F744909">
      <w:pPr>
        <w:rPr>
          <w:rFonts w:ascii="Century Gothic" w:hAnsi="Century Gothic" w:cs="Arial"/>
          <w:sz w:val="22"/>
          <w:szCs w:val="22"/>
          <w:lang w:eastAsia="en-US"/>
        </w:rPr>
      </w:pPr>
      <w:r>
        <w:rPr>
          <w:rFonts w:ascii="Century Gothic" w:hAnsi="Century Gothic" w:cs="Arial"/>
          <w:sz w:val="22"/>
          <w:szCs w:val="22"/>
          <w:lang w:eastAsia="en-US"/>
        </w:rPr>
        <w:t>Los administradores responderán solidaria e ilimitadamente por los perjuicios que por dolo o culpa ocasionen a la sociedad, a los asociados o a terceros. No estarán sujetos a dicha responsabilidad, quienes no hayan tenido conocimiento de la acción u omisión o haya votado en contra siempre y cuando no la ejecutan.</w:t>
      </w:r>
    </w:p>
    <w:p w14:paraId="4B229916">
      <w:pPr>
        <w:rPr>
          <w:rFonts w:ascii="Century Gothic" w:hAnsi="Century Gothic" w:cs="Arial"/>
          <w:sz w:val="22"/>
          <w:szCs w:val="22"/>
          <w:lang w:eastAsia="en-US"/>
        </w:rPr>
      </w:pPr>
    </w:p>
    <w:p w14:paraId="0957D163">
      <w:pPr>
        <w:rPr>
          <w:rFonts w:ascii="Century Gothic" w:hAnsi="Century Gothic" w:cs="Arial"/>
          <w:sz w:val="22"/>
          <w:szCs w:val="22"/>
          <w:lang w:eastAsia="en-US"/>
        </w:rPr>
      </w:pPr>
      <w:r>
        <w:rPr>
          <w:rFonts w:ascii="Century Gothic" w:hAnsi="Century Gothic" w:cs="Arial"/>
          <w:b/>
          <w:bCs/>
          <w:sz w:val="22"/>
          <w:szCs w:val="22"/>
          <w:lang w:eastAsia="en-US"/>
        </w:rPr>
        <w:t>Sanciones</w:t>
      </w:r>
      <w:r>
        <w:rPr>
          <w:rFonts w:ascii="Century Gothic" w:hAnsi="Century Gothic" w:cs="Arial"/>
          <w:sz w:val="22"/>
          <w:szCs w:val="22"/>
          <w:lang w:eastAsia="en-US"/>
        </w:rPr>
        <w:t xml:space="preserve"> </w:t>
      </w:r>
      <w:r>
        <w:rPr>
          <w:rFonts w:ascii="Century Gothic" w:hAnsi="Century Gothic" w:cs="Arial"/>
          <w:b/>
          <w:bCs/>
          <w:sz w:val="22"/>
          <w:szCs w:val="22"/>
          <w:lang w:eastAsia="en-US"/>
        </w:rPr>
        <w:t>Administrativas</w:t>
      </w:r>
    </w:p>
    <w:p w14:paraId="09088821">
      <w:pPr>
        <w:rPr>
          <w:rFonts w:ascii="Century Gothic" w:hAnsi="Century Gothic" w:cs="Arial"/>
          <w:sz w:val="22"/>
          <w:szCs w:val="22"/>
          <w:highlight w:val="green"/>
          <w:lang w:eastAsia="en-US"/>
        </w:rPr>
      </w:pPr>
    </w:p>
    <w:p w14:paraId="275B0034">
      <w:pPr>
        <w:rPr>
          <w:rFonts w:ascii="Century Gothic" w:hAnsi="Century Gothic" w:cs="Arial"/>
          <w:sz w:val="22"/>
          <w:szCs w:val="22"/>
          <w:lang w:eastAsia="en-US"/>
        </w:rPr>
      </w:pPr>
      <w:r>
        <w:rPr>
          <w:rFonts w:ascii="Century Gothic" w:hAnsi="Century Gothic" w:cs="Arial"/>
          <w:sz w:val="22"/>
          <w:szCs w:val="22"/>
          <w:lang w:eastAsia="en-US"/>
        </w:rPr>
        <w:t>Sanciones Institucionales cuando el ente de vigilancia y control se cerciore que la entidad ha violado una norma de su estatuto o reglamento o cualquiera otra de carácter legal a que deba estar sometido, podrá además imponer a las entidades vigiladas las respectivas sanciones.</w:t>
      </w:r>
    </w:p>
    <w:p w14:paraId="155CC3AA">
      <w:pPr>
        <w:rPr>
          <w:rFonts w:ascii="Century Gothic" w:hAnsi="Century Gothic" w:cs="Arial"/>
          <w:sz w:val="22"/>
          <w:szCs w:val="22"/>
          <w:highlight w:val="green"/>
          <w:lang w:eastAsia="en-US"/>
        </w:rPr>
      </w:pPr>
    </w:p>
    <w:p w14:paraId="22CB0309">
      <w:pPr>
        <w:rPr>
          <w:rFonts w:ascii="Century Gothic" w:hAnsi="Century Gothic" w:cs="Arial"/>
          <w:sz w:val="22"/>
          <w:szCs w:val="22"/>
          <w:lang w:eastAsia="en-US"/>
        </w:rPr>
      </w:pPr>
      <w:r>
        <w:rPr>
          <w:rFonts w:ascii="Century Gothic" w:hAnsi="Century Gothic" w:cs="Arial"/>
          <w:b/>
          <w:bCs/>
          <w:sz w:val="22"/>
          <w:szCs w:val="22"/>
          <w:lang w:eastAsia="en-US"/>
        </w:rPr>
        <w:t>Sanciones</w:t>
      </w:r>
      <w:r>
        <w:rPr>
          <w:rFonts w:ascii="Century Gothic" w:hAnsi="Century Gothic" w:cs="Arial"/>
          <w:sz w:val="22"/>
          <w:szCs w:val="22"/>
          <w:lang w:eastAsia="en-US"/>
        </w:rPr>
        <w:t xml:space="preserve"> </w:t>
      </w:r>
      <w:r>
        <w:rPr>
          <w:rFonts w:ascii="Century Gothic" w:hAnsi="Century Gothic" w:cs="Arial"/>
          <w:b/>
          <w:bCs/>
          <w:sz w:val="22"/>
          <w:szCs w:val="22"/>
          <w:lang w:eastAsia="en-US"/>
        </w:rPr>
        <w:t>Personales</w:t>
      </w:r>
    </w:p>
    <w:p w14:paraId="61404589">
      <w:pPr>
        <w:rPr>
          <w:rFonts w:ascii="Century Gothic" w:hAnsi="Century Gothic" w:cs="Arial"/>
          <w:sz w:val="22"/>
          <w:szCs w:val="22"/>
          <w:lang w:eastAsia="en-US"/>
        </w:rPr>
      </w:pPr>
    </w:p>
    <w:p w14:paraId="79B88DBB">
      <w:pPr>
        <w:rPr>
          <w:rFonts w:ascii="Century Gothic" w:hAnsi="Century Gothic" w:cs="Arial"/>
          <w:sz w:val="22"/>
          <w:szCs w:val="22"/>
          <w:lang w:eastAsia="en-US"/>
        </w:rPr>
      </w:pPr>
      <w:r>
        <w:rPr>
          <w:rFonts w:ascii="Century Gothic" w:hAnsi="Century Gothic" w:cs="Arial"/>
          <w:sz w:val="22"/>
          <w:szCs w:val="22"/>
          <w:lang w:eastAsia="en-US"/>
        </w:rPr>
        <w:t>Cuando cualquier miembro del Consejo de Administración, Gerente General  o Revisor Fiscal, u otro funcionario o empleado de la Entidad autorice o ejecute actos violatorios del estatuto de la entidad, de alguna ley o reglamento o de cualquier norma legal a la que la entidad esté sujeta, el ente de Vigilancia y Control además podrá exigir la remoción inmediata y comunicará esta determinación.</w:t>
      </w:r>
    </w:p>
    <w:p w14:paraId="38222D87">
      <w:pPr>
        <w:rPr>
          <w:rFonts w:ascii="Century Gothic" w:hAnsi="Century Gothic" w:cs="Arial"/>
          <w:sz w:val="22"/>
          <w:szCs w:val="22"/>
          <w:lang w:eastAsia="en-US"/>
        </w:rPr>
      </w:pPr>
    </w:p>
    <w:p w14:paraId="65320C53">
      <w:pPr>
        <w:rPr>
          <w:rFonts w:ascii="Century Gothic" w:hAnsi="Century Gothic" w:cs="Arial"/>
          <w:sz w:val="22"/>
          <w:szCs w:val="22"/>
          <w:lang w:eastAsia="en-US"/>
        </w:rPr>
      </w:pPr>
      <w:r>
        <w:rPr>
          <w:rFonts w:ascii="Century Gothic" w:hAnsi="Century Gothic" w:cs="Arial"/>
          <w:b/>
          <w:bCs/>
          <w:sz w:val="22"/>
          <w:szCs w:val="22"/>
          <w:lang w:eastAsia="en-US"/>
        </w:rPr>
        <w:t>Sanciones</w:t>
      </w:r>
      <w:r>
        <w:rPr>
          <w:rFonts w:ascii="Century Gothic" w:hAnsi="Century Gothic" w:cs="Arial"/>
          <w:sz w:val="22"/>
          <w:szCs w:val="22"/>
          <w:lang w:eastAsia="en-US"/>
        </w:rPr>
        <w:t xml:space="preserve"> </w:t>
      </w:r>
      <w:r>
        <w:rPr>
          <w:rFonts w:ascii="Century Gothic" w:hAnsi="Century Gothic" w:cs="Arial"/>
          <w:b/>
          <w:bCs/>
          <w:sz w:val="22"/>
          <w:szCs w:val="22"/>
          <w:lang w:eastAsia="en-US"/>
        </w:rPr>
        <w:t>Laborales</w:t>
      </w:r>
    </w:p>
    <w:p w14:paraId="205D6D0D">
      <w:pPr>
        <w:rPr>
          <w:rFonts w:ascii="Century Gothic" w:hAnsi="Century Gothic" w:cs="Arial"/>
          <w:sz w:val="22"/>
          <w:szCs w:val="22"/>
          <w:lang w:eastAsia="en-US"/>
        </w:rPr>
      </w:pPr>
    </w:p>
    <w:p w14:paraId="64D90F78">
      <w:pPr>
        <w:pStyle w:val="65"/>
        <w:numPr>
          <w:ilvl w:val="3"/>
          <w:numId w:val="2"/>
        </w:numPr>
        <w:rPr>
          <w:rFonts w:ascii="Century Gothic" w:hAnsi="Century Gothic" w:cs="Arial"/>
          <w:sz w:val="22"/>
          <w:szCs w:val="22"/>
          <w:lang w:eastAsia="en-US"/>
        </w:rPr>
      </w:pPr>
      <w:r>
        <w:rPr>
          <w:rFonts w:ascii="Century Gothic" w:hAnsi="Century Gothic" w:cs="Arial"/>
          <w:sz w:val="22"/>
          <w:szCs w:val="22"/>
          <w:lang w:eastAsia="en-US"/>
        </w:rPr>
        <w:t xml:space="preserve">Los siguientes incumplimientos por parte del empleado, generarán </w:t>
      </w:r>
      <w:r>
        <w:rPr>
          <w:rFonts w:ascii="Century Gothic" w:hAnsi="Century Gothic" w:cs="Arial"/>
          <w:b/>
          <w:sz w:val="22"/>
          <w:szCs w:val="22"/>
          <w:lang w:eastAsia="en-US"/>
        </w:rPr>
        <w:t>llamados de atención</w:t>
      </w:r>
      <w:r>
        <w:rPr>
          <w:rFonts w:ascii="Century Gothic" w:hAnsi="Century Gothic" w:cs="Arial"/>
          <w:sz w:val="22"/>
          <w:szCs w:val="22"/>
          <w:lang w:eastAsia="en-US"/>
        </w:rPr>
        <w:t xml:space="preserve"> por escrito:</w:t>
      </w:r>
    </w:p>
    <w:p w14:paraId="3999D697">
      <w:pPr>
        <w:autoSpaceDE w:val="0"/>
        <w:autoSpaceDN w:val="0"/>
        <w:adjustRightInd w:val="0"/>
        <w:jc w:val="left"/>
        <w:rPr>
          <w:rFonts w:ascii="Century Gothic" w:hAnsi="Century Gothic" w:cs="Calibri" w:eastAsiaTheme="minorHAnsi"/>
          <w:color w:val="000000"/>
          <w:sz w:val="22"/>
          <w:szCs w:val="22"/>
          <w:lang w:val="es-ES" w:eastAsia="en-US"/>
        </w:rPr>
      </w:pPr>
    </w:p>
    <w:p w14:paraId="2F6153B2">
      <w:pPr>
        <w:pStyle w:val="65"/>
        <w:numPr>
          <w:ilvl w:val="0"/>
          <w:numId w:val="110"/>
        </w:numPr>
        <w:autoSpaceDE w:val="0"/>
        <w:autoSpaceDN w:val="0"/>
        <w:adjustRightInd w:val="0"/>
        <w:jc w:val="left"/>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El no cumplimiento de procedimientos relacionados con la obtención de información y documentos requeridos para la vinculación de asociados y relacionados contractuales. </w:t>
      </w:r>
    </w:p>
    <w:p w14:paraId="29C1F2C8">
      <w:pPr>
        <w:pStyle w:val="65"/>
        <w:numPr>
          <w:ilvl w:val="0"/>
          <w:numId w:val="110"/>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El no acatamiento oportuno de las recomendaciones y/o requerimientos dados por los entes de control, Oficial de Cumplimiento o la Gerencia con respecto a procesos de SARLAFT. </w:t>
      </w:r>
    </w:p>
    <w:p w14:paraId="5837B7C0">
      <w:pPr>
        <w:pStyle w:val="65"/>
        <w:numPr>
          <w:ilvl w:val="0"/>
          <w:numId w:val="110"/>
        </w:numPr>
        <w:autoSpaceDE w:val="0"/>
        <w:autoSpaceDN w:val="0"/>
        <w:adjustRightInd w:val="0"/>
        <w:jc w:val="left"/>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No asistencia sin causa justificada a las capacitaciones relacionadas con el SARLAFT. </w:t>
      </w:r>
    </w:p>
    <w:p w14:paraId="6C912048">
      <w:pPr>
        <w:pStyle w:val="65"/>
        <w:numPr>
          <w:ilvl w:val="0"/>
          <w:numId w:val="110"/>
        </w:numPr>
        <w:autoSpaceDE w:val="0"/>
        <w:autoSpaceDN w:val="0"/>
        <w:adjustRightInd w:val="0"/>
        <w:jc w:val="left"/>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No reporte oportuno de una operación inusual. </w:t>
      </w:r>
    </w:p>
    <w:p w14:paraId="32F0C8D8">
      <w:pPr>
        <w:pStyle w:val="65"/>
        <w:ind w:left="360"/>
        <w:rPr>
          <w:rFonts w:ascii="Century Gothic" w:hAnsi="Century Gothic" w:cs="Arial"/>
          <w:sz w:val="22"/>
          <w:szCs w:val="22"/>
          <w:lang w:eastAsia="en-US"/>
        </w:rPr>
      </w:pPr>
    </w:p>
    <w:p w14:paraId="3A63A237">
      <w:pPr>
        <w:pStyle w:val="65"/>
        <w:numPr>
          <w:ilvl w:val="3"/>
          <w:numId w:val="2"/>
        </w:numPr>
        <w:rPr>
          <w:rFonts w:ascii="Century Gothic" w:hAnsi="Century Gothic" w:cs="Arial"/>
          <w:sz w:val="22"/>
          <w:szCs w:val="22"/>
          <w:lang w:eastAsia="en-US"/>
        </w:rPr>
      </w:pPr>
      <w:r>
        <w:rPr>
          <w:rFonts w:ascii="Century Gothic" w:hAnsi="Century Gothic" w:cs="Arial"/>
          <w:sz w:val="22"/>
          <w:szCs w:val="22"/>
          <w:lang w:eastAsia="en-US"/>
        </w:rPr>
        <w:t xml:space="preserve">Los siguientes incumplimientos generarán </w:t>
      </w:r>
      <w:r>
        <w:rPr>
          <w:rFonts w:ascii="Century Gothic" w:hAnsi="Century Gothic" w:cs="Arial"/>
          <w:b/>
          <w:sz w:val="22"/>
          <w:szCs w:val="22"/>
          <w:lang w:eastAsia="en-US"/>
        </w:rPr>
        <w:t>suspensión del empleado</w:t>
      </w:r>
      <w:r>
        <w:rPr>
          <w:rFonts w:ascii="Century Gothic" w:hAnsi="Century Gothic" w:cs="Arial"/>
          <w:sz w:val="22"/>
          <w:szCs w:val="22"/>
          <w:lang w:eastAsia="en-US"/>
        </w:rPr>
        <w:t xml:space="preserve"> conforme lo dispone el reglamento interno de trabajo:</w:t>
      </w:r>
    </w:p>
    <w:p w14:paraId="604F9DDB">
      <w:pPr>
        <w:rPr>
          <w:rFonts w:ascii="Century Gothic" w:hAnsi="Century Gothic" w:cs="Arial"/>
          <w:sz w:val="22"/>
          <w:szCs w:val="22"/>
          <w:lang w:eastAsia="en-US"/>
        </w:rPr>
      </w:pPr>
    </w:p>
    <w:p w14:paraId="6967BCB6">
      <w:pPr>
        <w:pStyle w:val="65"/>
        <w:numPr>
          <w:ilvl w:val="0"/>
          <w:numId w:val="111"/>
        </w:numPr>
        <w:rPr>
          <w:rFonts w:ascii="Century Gothic" w:hAnsi="Century Gothic" w:cs="Arial"/>
          <w:sz w:val="22"/>
          <w:szCs w:val="22"/>
          <w:lang w:eastAsia="en-US"/>
        </w:rPr>
      </w:pPr>
      <w:r>
        <w:rPr>
          <w:rFonts w:ascii="Century Gothic" w:hAnsi="Century Gothic" w:cs="Arial"/>
          <w:sz w:val="22"/>
          <w:szCs w:val="22"/>
          <w:lang w:eastAsia="en-US"/>
        </w:rPr>
        <w:t>Reincidencia en los aspectos enunciados en el numeral anterior.</w:t>
      </w:r>
    </w:p>
    <w:p w14:paraId="4A8A151F">
      <w:pPr>
        <w:pStyle w:val="65"/>
        <w:numPr>
          <w:ilvl w:val="0"/>
          <w:numId w:val="111"/>
        </w:numPr>
        <w:rPr>
          <w:rFonts w:ascii="Century Gothic" w:hAnsi="Century Gothic" w:cs="Arial"/>
          <w:sz w:val="22"/>
          <w:szCs w:val="22"/>
          <w:lang w:eastAsia="en-US"/>
        </w:rPr>
      </w:pPr>
      <w:r>
        <w:rPr>
          <w:rFonts w:ascii="Century Gothic" w:hAnsi="Century Gothic" w:cs="Arial"/>
          <w:sz w:val="22"/>
          <w:szCs w:val="22"/>
          <w:lang w:eastAsia="en-US"/>
        </w:rPr>
        <w:t>Incumplimiento injustificado de reportes a los organismos de control externo.</w:t>
      </w:r>
    </w:p>
    <w:p w14:paraId="33AA41A7">
      <w:pPr>
        <w:rPr>
          <w:rFonts w:ascii="Century Gothic" w:hAnsi="Century Gothic" w:cs="Arial"/>
          <w:sz w:val="22"/>
          <w:szCs w:val="22"/>
          <w:lang w:eastAsia="en-US"/>
        </w:rPr>
      </w:pPr>
    </w:p>
    <w:p w14:paraId="28874581">
      <w:pPr>
        <w:pStyle w:val="65"/>
        <w:numPr>
          <w:ilvl w:val="3"/>
          <w:numId w:val="2"/>
        </w:numPr>
        <w:rPr>
          <w:rFonts w:ascii="Century Gothic" w:hAnsi="Century Gothic" w:cs="Arial"/>
          <w:b/>
          <w:bCs/>
          <w:sz w:val="22"/>
          <w:szCs w:val="22"/>
          <w:lang w:eastAsia="en-US"/>
        </w:rPr>
      </w:pPr>
      <w:r>
        <w:rPr>
          <w:rFonts w:ascii="Century Gothic" w:hAnsi="Century Gothic" w:cs="Arial"/>
          <w:bCs/>
          <w:sz w:val="22"/>
          <w:szCs w:val="22"/>
          <w:lang w:eastAsia="en-US"/>
        </w:rPr>
        <w:t xml:space="preserve">Los siguientes incumplimientos se consideran falta grave y generarán </w:t>
      </w:r>
      <w:r>
        <w:rPr>
          <w:rFonts w:ascii="Century Gothic" w:hAnsi="Century Gothic" w:cs="Arial"/>
          <w:b/>
          <w:bCs/>
          <w:sz w:val="22"/>
          <w:szCs w:val="22"/>
          <w:lang w:eastAsia="en-US"/>
        </w:rPr>
        <w:t>terminación unilateral del contrato</w:t>
      </w:r>
      <w:r>
        <w:rPr>
          <w:rFonts w:ascii="Century Gothic" w:hAnsi="Century Gothic" w:cs="Arial"/>
          <w:bCs/>
          <w:sz w:val="22"/>
          <w:szCs w:val="22"/>
          <w:lang w:eastAsia="en-US"/>
        </w:rPr>
        <w:t xml:space="preserve"> por parte de la Entidad con justa causa:</w:t>
      </w:r>
    </w:p>
    <w:p w14:paraId="5BE009D5">
      <w:pPr>
        <w:pStyle w:val="65"/>
        <w:ind w:left="360"/>
        <w:rPr>
          <w:rFonts w:ascii="Century Gothic" w:hAnsi="Century Gothic" w:cs="Arial"/>
          <w:b/>
          <w:bCs/>
          <w:sz w:val="22"/>
          <w:szCs w:val="22"/>
          <w:lang w:eastAsia="en-US"/>
        </w:rPr>
      </w:pPr>
    </w:p>
    <w:p w14:paraId="7E2797CC">
      <w:pPr>
        <w:pStyle w:val="65"/>
        <w:numPr>
          <w:ilvl w:val="0"/>
          <w:numId w:val="112"/>
        </w:numPr>
        <w:rPr>
          <w:rFonts w:ascii="Century Gothic" w:hAnsi="Century Gothic" w:cs="Arial"/>
          <w:sz w:val="22"/>
          <w:szCs w:val="22"/>
          <w:lang w:eastAsia="en-US"/>
        </w:rPr>
      </w:pPr>
      <w:r>
        <w:rPr>
          <w:rFonts w:ascii="Century Gothic" w:hAnsi="Century Gothic" w:cs="Arial"/>
          <w:sz w:val="22"/>
          <w:szCs w:val="22"/>
          <w:lang w:eastAsia="en-US"/>
        </w:rPr>
        <w:t>Reincidencia en cualquiera de los aspectos enunciados en el numeral anterior.</w:t>
      </w:r>
    </w:p>
    <w:p w14:paraId="1B0460BC">
      <w:pPr>
        <w:pStyle w:val="65"/>
        <w:numPr>
          <w:ilvl w:val="0"/>
          <w:numId w:val="112"/>
        </w:numPr>
        <w:rPr>
          <w:rFonts w:ascii="Century Gothic" w:hAnsi="Century Gothic" w:cs="Arial"/>
          <w:sz w:val="22"/>
          <w:szCs w:val="22"/>
          <w:lang w:eastAsia="en-US"/>
        </w:rPr>
      </w:pPr>
      <w:r>
        <w:rPr>
          <w:rFonts w:ascii="Century Gothic" w:hAnsi="Century Gothic" w:cs="Arial"/>
          <w:sz w:val="22"/>
          <w:szCs w:val="22"/>
          <w:lang w:eastAsia="en-US"/>
        </w:rPr>
        <w:t>Actuaciones que van</w:t>
      </w:r>
      <w:r>
        <w:rPr>
          <w:rFonts w:ascii="Century Gothic" w:hAnsi="Century Gothic" w:cs="Arial"/>
          <w:sz w:val="22"/>
          <w:szCs w:val="22"/>
          <w:lang w:val="es-CO" w:eastAsia="en-US"/>
        </w:rPr>
        <w:t xml:space="preserve"> en contra de las normas legales o internas, o que permitan el ocultamiento y visos de legalidad a dineros provenientes de actividades ilícitas (Incumplimiento del SARLAFT).</w:t>
      </w:r>
    </w:p>
    <w:p w14:paraId="58A6DD1B">
      <w:pPr>
        <w:pStyle w:val="65"/>
        <w:numPr>
          <w:ilvl w:val="0"/>
          <w:numId w:val="112"/>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Omitir información relevante en los informes de operación inusual, con el fin de minimizar el impacto del reporte. </w:t>
      </w:r>
    </w:p>
    <w:p w14:paraId="21009570">
      <w:pPr>
        <w:pStyle w:val="65"/>
        <w:numPr>
          <w:ilvl w:val="0"/>
          <w:numId w:val="112"/>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Ocultamiento y/o distorsión de información y/o documentos que permitan detectar operaciones inusuales. </w:t>
      </w:r>
    </w:p>
    <w:p w14:paraId="5A61A681">
      <w:pPr>
        <w:pStyle w:val="65"/>
        <w:numPr>
          <w:ilvl w:val="0"/>
          <w:numId w:val="112"/>
        </w:numPr>
        <w:autoSpaceDE w:val="0"/>
        <w:autoSpaceDN w:val="0"/>
        <w:adjustRightInd w:val="0"/>
        <w:rPr>
          <w:rFonts w:ascii="Century Gothic" w:hAnsi="Century Gothic" w:cs="Calibri" w:eastAsiaTheme="minorHAnsi"/>
          <w:color w:val="000000"/>
          <w:sz w:val="22"/>
          <w:szCs w:val="22"/>
          <w:lang w:eastAsia="en-US"/>
        </w:rPr>
      </w:pPr>
      <w:r>
        <w:rPr>
          <w:rFonts w:ascii="Century Gothic" w:hAnsi="Century Gothic" w:cs="Calibri" w:eastAsiaTheme="minorHAnsi"/>
          <w:color w:val="000000"/>
          <w:sz w:val="22"/>
          <w:szCs w:val="22"/>
          <w:lang w:eastAsia="en-US"/>
        </w:rPr>
        <w:t xml:space="preserve">Realización de acciones tendientes a distorsionar o entorpecer los controles dispuestos por la entidad para el control del SARLAFT. </w:t>
      </w:r>
    </w:p>
    <w:p w14:paraId="26FD024B">
      <w:pPr>
        <w:rPr>
          <w:rFonts w:ascii="Century Gothic" w:hAnsi="Century Gothic" w:cs="Arial"/>
          <w:b/>
          <w:bCs/>
          <w:sz w:val="22"/>
          <w:szCs w:val="22"/>
          <w:lang w:eastAsia="en-US"/>
        </w:rPr>
      </w:pPr>
    </w:p>
    <w:p w14:paraId="79BC750A">
      <w:pPr>
        <w:rPr>
          <w:rFonts w:ascii="Century Gothic" w:hAnsi="Century Gothic" w:cs="Arial"/>
          <w:sz w:val="22"/>
          <w:szCs w:val="22"/>
        </w:rPr>
      </w:pPr>
    </w:p>
    <w:p w14:paraId="24593887">
      <w:pPr>
        <w:rPr>
          <w:rFonts w:ascii="Century Gothic" w:hAnsi="Century Gothic" w:cs="Arial"/>
          <w:sz w:val="22"/>
          <w:szCs w:val="22"/>
        </w:rPr>
      </w:pPr>
    </w:p>
    <w:p w14:paraId="2F9A3E5E">
      <w:pPr>
        <w:rPr>
          <w:rFonts w:ascii="Century Gothic" w:hAnsi="Century Gothic" w:cs="Arial"/>
          <w:sz w:val="22"/>
          <w:szCs w:val="22"/>
        </w:rPr>
      </w:pPr>
    </w:p>
    <w:p w14:paraId="4B576B59">
      <w:pPr>
        <w:rPr>
          <w:rFonts w:ascii="Century Gothic" w:hAnsi="Century Gothic" w:cs="Arial"/>
          <w:sz w:val="22"/>
          <w:szCs w:val="22"/>
        </w:rPr>
      </w:pPr>
    </w:p>
    <w:p w14:paraId="73BE0EF2">
      <w:pPr>
        <w:rPr>
          <w:rFonts w:ascii="Century Gothic" w:hAnsi="Century Gothic" w:cs="Arial"/>
          <w:sz w:val="22"/>
          <w:szCs w:val="22"/>
        </w:rPr>
      </w:pPr>
    </w:p>
    <w:p w14:paraId="5D503D0B">
      <w:pPr>
        <w:rPr>
          <w:rFonts w:ascii="Century Gothic" w:hAnsi="Century Gothic" w:cs="Arial"/>
          <w:sz w:val="22"/>
          <w:szCs w:val="22"/>
        </w:rPr>
      </w:pPr>
    </w:p>
    <w:p w14:paraId="7253A5E4">
      <w:pPr>
        <w:rPr>
          <w:rFonts w:ascii="Century Gothic" w:hAnsi="Century Gothic" w:cs="Arial"/>
          <w:sz w:val="22"/>
          <w:szCs w:val="22"/>
        </w:rPr>
      </w:pPr>
    </w:p>
    <w:p w14:paraId="0E0FFE10">
      <w:pPr>
        <w:rPr>
          <w:rFonts w:ascii="Century Gothic" w:hAnsi="Century Gothic" w:cs="Arial"/>
          <w:sz w:val="22"/>
          <w:szCs w:val="22"/>
        </w:rPr>
      </w:pPr>
    </w:p>
    <w:p w14:paraId="16926463">
      <w:pPr>
        <w:rPr>
          <w:rFonts w:ascii="Century Gothic" w:hAnsi="Century Gothic" w:cs="Arial"/>
          <w:sz w:val="22"/>
          <w:szCs w:val="22"/>
        </w:rPr>
      </w:pPr>
    </w:p>
    <w:p w14:paraId="0921E2C4">
      <w:pPr>
        <w:rPr>
          <w:rFonts w:ascii="Century Gothic" w:hAnsi="Century Gothic" w:cs="Arial"/>
          <w:sz w:val="22"/>
          <w:szCs w:val="22"/>
        </w:rPr>
      </w:pPr>
    </w:p>
    <w:p w14:paraId="7405208A">
      <w:pPr>
        <w:rPr>
          <w:rFonts w:ascii="Century Gothic" w:hAnsi="Century Gothic" w:cs="Arial"/>
          <w:sz w:val="22"/>
          <w:szCs w:val="22"/>
        </w:rPr>
      </w:pPr>
    </w:p>
    <w:p w14:paraId="03BE35D6">
      <w:pPr>
        <w:rPr>
          <w:rFonts w:ascii="Century Gothic" w:hAnsi="Century Gothic" w:cs="Arial"/>
          <w:sz w:val="22"/>
          <w:szCs w:val="22"/>
        </w:rPr>
      </w:pPr>
    </w:p>
    <w:p w14:paraId="33241534">
      <w:pPr>
        <w:rPr>
          <w:rFonts w:ascii="Century Gothic" w:hAnsi="Century Gothic" w:cs="Arial"/>
          <w:sz w:val="22"/>
          <w:szCs w:val="22"/>
        </w:rPr>
      </w:pPr>
    </w:p>
    <w:p w14:paraId="0A4E4A27">
      <w:pPr>
        <w:rPr>
          <w:rFonts w:ascii="Century Gothic" w:hAnsi="Century Gothic" w:cs="Arial"/>
          <w:sz w:val="22"/>
          <w:szCs w:val="22"/>
        </w:rPr>
      </w:pPr>
    </w:p>
    <w:p w14:paraId="787F80F9">
      <w:pPr>
        <w:rPr>
          <w:rFonts w:ascii="Century Gothic" w:hAnsi="Century Gothic" w:cs="Arial"/>
          <w:sz w:val="22"/>
          <w:szCs w:val="22"/>
        </w:rPr>
      </w:pPr>
    </w:p>
    <w:p w14:paraId="4E83C33F">
      <w:pPr>
        <w:rPr>
          <w:rFonts w:ascii="Century Gothic" w:hAnsi="Century Gothic" w:cs="Arial"/>
          <w:sz w:val="22"/>
          <w:szCs w:val="22"/>
        </w:rPr>
      </w:pPr>
    </w:p>
    <w:p w14:paraId="2FE62C38">
      <w:pPr>
        <w:rPr>
          <w:rFonts w:ascii="Century Gothic" w:hAnsi="Century Gothic" w:cs="Arial"/>
          <w:sz w:val="22"/>
          <w:szCs w:val="22"/>
        </w:rPr>
      </w:pPr>
    </w:p>
    <w:p w14:paraId="2C3B1C23">
      <w:pPr>
        <w:rPr>
          <w:rFonts w:ascii="Century Gothic" w:hAnsi="Century Gothic" w:cs="Arial"/>
          <w:sz w:val="22"/>
          <w:szCs w:val="22"/>
        </w:rPr>
      </w:pPr>
    </w:p>
    <w:p w14:paraId="72B3429A">
      <w:pPr>
        <w:rPr>
          <w:rFonts w:ascii="Century Gothic" w:hAnsi="Century Gothic" w:cs="Arial"/>
          <w:sz w:val="22"/>
          <w:szCs w:val="22"/>
        </w:rPr>
      </w:pPr>
    </w:p>
    <w:p w14:paraId="620F109E">
      <w:pPr>
        <w:rPr>
          <w:rFonts w:ascii="Century Gothic" w:hAnsi="Century Gothic" w:cs="Arial"/>
          <w:sz w:val="22"/>
          <w:szCs w:val="22"/>
        </w:rPr>
      </w:pPr>
    </w:p>
    <w:p w14:paraId="76FD7535">
      <w:pPr>
        <w:rPr>
          <w:rFonts w:ascii="Century Gothic" w:hAnsi="Century Gothic" w:cs="Arial"/>
          <w:sz w:val="22"/>
          <w:szCs w:val="22"/>
        </w:rPr>
      </w:pPr>
    </w:p>
    <w:p w14:paraId="74865D19">
      <w:pPr>
        <w:rPr>
          <w:rFonts w:ascii="Century Gothic" w:hAnsi="Century Gothic" w:cs="Arial"/>
          <w:sz w:val="22"/>
          <w:szCs w:val="22"/>
        </w:rPr>
      </w:pPr>
    </w:p>
    <w:p w14:paraId="61AE892F">
      <w:pPr>
        <w:rPr>
          <w:rFonts w:ascii="Century Gothic" w:hAnsi="Century Gothic" w:cs="Arial"/>
          <w:sz w:val="22"/>
          <w:szCs w:val="22"/>
        </w:rPr>
      </w:pPr>
    </w:p>
    <w:p w14:paraId="7FD1A8B6">
      <w:pPr>
        <w:rPr>
          <w:rFonts w:ascii="Century Gothic" w:hAnsi="Century Gothic" w:cs="Arial"/>
          <w:sz w:val="22"/>
          <w:szCs w:val="22"/>
        </w:rPr>
      </w:pPr>
    </w:p>
    <w:p w14:paraId="294249C0">
      <w:pPr>
        <w:rPr>
          <w:rFonts w:ascii="Century Gothic" w:hAnsi="Century Gothic" w:cs="Arial"/>
          <w:sz w:val="22"/>
          <w:szCs w:val="22"/>
        </w:rPr>
      </w:pPr>
    </w:p>
    <w:p w14:paraId="6F14197F">
      <w:pPr>
        <w:rPr>
          <w:rFonts w:ascii="Century Gothic" w:hAnsi="Century Gothic" w:cs="Arial"/>
          <w:sz w:val="22"/>
          <w:szCs w:val="22"/>
        </w:rPr>
      </w:pPr>
    </w:p>
    <w:p w14:paraId="712319AA">
      <w:pPr>
        <w:rPr>
          <w:rFonts w:ascii="Century Gothic" w:hAnsi="Century Gothic" w:cs="Arial"/>
          <w:sz w:val="22"/>
          <w:szCs w:val="22"/>
        </w:rPr>
      </w:pPr>
    </w:p>
    <w:p w14:paraId="6A9C8AC3">
      <w:pPr>
        <w:rPr>
          <w:rFonts w:ascii="Century Gothic" w:hAnsi="Century Gothic" w:cs="Arial"/>
          <w:sz w:val="22"/>
          <w:szCs w:val="22"/>
        </w:rPr>
      </w:pPr>
    </w:p>
    <w:p w14:paraId="4647D6E3">
      <w:pPr>
        <w:rPr>
          <w:rFonts w:ascii="Century Gothic" w:hAnsi="Century Gothic" w:cs="Arial"/>
          <w:sz w:val="22"/>
          <w:szCs w:val="22"/>
        </w:rPr>
      </w:pPr>
    </w:p>
    <w:p w14:paraId="4D0BA140">
      <w:pPr>
        <w:rPr>
          <w:rFonts w:ascii="Century Gothic" w:hAnsi="Century Gothic" w:cs="Arial"/>
          <w:sz w:val="22"/>
          <w:szCs w:val="22"/>
        </w:rPr>
      </w:pPr>
    </w:p>
    <w:p w14:paraId="5235E579">
      <w:pPr>
        <w:rPr>
          <w:rFonts w:ascii="Century Gothic" w:hAnsi="Century Gothic" w:cs="Arial"/>
          <w:sz w:val="22"/>
          <w:szCs w:val="22"/>
        </w:rPr>
      </w:pPr>
    </w:p>
    <w:p w14:paraId="60AF8DAB">
      <w:pPr>
        <w:rPr>
          <w:rFonts w:ascii="Century Gothic" w:hAnsi="Century Gothic" w:cs="Arial"/>
          <w:sz w:val="22"/>
          <w:szCs w:val="22"/>
        </w:rPr>
      </w:pPr>
    </w:p>
    <w:p w14:paraId="67D6849A">
      <w:pPr>
        <w:pStyle w:val="65"/>
        <w:numPr>
          <w:ilvl w:val="0"/>
          <w:numId w:val="8"/>
        </w:numPr>
        <w:autoSpaceDE w:val="0"/>
        <w:autoSpaceDN w:val="0"/>
        <w:adjustRightInd w:val="0"/>
        <w:jc w:val="center"/>
        <w:rPr>
          <w:rFonts w:ascii="Century Gothic" w:hAnsi="Century Gothic" w:cs="Arial"/>
          <w:b/>
          <w:bCs/>
          <w:sz w:val="22"/>
          <w:szCs w:val="22"/>
          <w:lang w:eastAsia="es-CO"/>
        </w:rPr>
      </w:pPr>
      <w:r>
        <w:rPr>
          <w:rFonts w:ascii="Century Gothic" w:hAnsi="Century Gothic" w:cs="Arial"/>
          <w:b/>
          <w:bCs/>
          <w:sz w:val="22"/>
          <w:szCs w:val="22"/>
          <w:lang w:eastAsia="es-CO"/>
        </w:rPr>
        <w:t>PRÁCTICA INSEGURA</w:t>
      </w:r>
    </w:p>
    <w:p w14:paraId="2BAA08C0">
      <w:pPr>
        <w:pStyle w:val="65"/>
        <w:autoSpaceDE w:val="0"/>
        <w:autoSpaceDN w:val="0"/>
        <w:adjustRightInd w:val="0"/>
        <w:ind w:left="585"/>
        <w:rPr>
          <w:rFonts w:ascii="Century Gothic" w:hAnsi="Century Gothic" w:cs="Arial"/>
          <w:b/>
          <w:bCs/>
          <w:sz w:val="22"/>
          <w:szCs w:val="22"/>
          <w:lang w:eastAsia="es-CO"/>
        </w:rPr>
      </w:pPr>
    </w:p>
    <w:p w14:paraId="351E6A71">
      <w:pPr>
        <w:autoSpaceDE w:val="0"/>
        <w:autoSpaceDN w:val="0"/>
        <w:adjustRightInd w:val="0"/>
        <w:rPr>
          <w:rFonts w:ascii="Century Gothic" w:hAnsi="Century Gothic" w:cs="Arial"/>
          <w:sz w:val="22"/>
          <w:szCs w:val="22"/>
          <w:lang w:eastAsia="es-CO"/>
        </w:rPr>
      </w:pPr>
      <w:r>
        <w:rPr>
          <w:rFonts w:ascii="Century Gothic" w:hAnsi="Century Gothic" w:cs="Arial"/>
          <w:sz w:val="22"/>
          <w:szCs w:val="22"/>
          <w:lang w:eastAsia="es-CO"/>
        </w:rPr>
        <w:t xml:space="preserve">La Superintendencia de la Economía Solidaria calificará como práctica no autorizada e insegura la realización de operaciones sin el cumplimiento de las disposiciones contenidas </w:t>
      </w:r>
      <w:r>
        <w:rPr>
          <w:rFonts w:ascii="Century Gothic" w:hAnsi="Century Gothic"/>
          <w:sz w:val="22"/>
          <w:szCs w:val="22"/>
        </w:rPr>
        <w:t>en el Capítulo XI Titulo II y Capitulo IX Título III de la Circular Básica Jurídica</w:t>
      </w:r>
      <w:r>
        <w:rPr>
          <w:rFonts w:ascii="Century Gothic" w:hAnsi="Century Gothic" w:cs="Arial"/>
          <w:sz w:val="22"/>
          <w:szCs w:val="22"/>
          <w:lang w:eastAsia="es-CO"/>
        </w:rPr>
        <w:t xml:space="preserve">, conforme lo establecido en el literal c), numeral 5 del artículo 3 del Decreto 186 de 2004. </w:t>
      </w:r>
    </w:p>
    <w:p w14:paraId="12844C5C">
      <w:pPr>
        <w:autoSpaceDE w:val="0"/>
        <w:autoSpaceDN w:val="0"/>
        <w:adjustRightInd w:val="0"/>
        <w:rPr>
          <w:rFonts w:ascii="Century Gothic" w:hAnsi="Century Gothic" w:cs="Arial"/>
          <w:sz w:val="22"/>
          <w:szCs w:val="22"/>
          <w:lang w:eastAsia="es-CO"/>
        </w:rPr>
      </w:pPr>
    </w:p>
    <w:p w14:paraId="6AE64FD5">
      <w:pPr>
        <w:autoSpaceDE w:val="0"/>
        <w:autoSpaceDN w:val="0"/>
        <w:adjustRightInd w:val="0"/>
        <w:rPr>
          <w:rFonts w:ascii="Century Gothic" w:hAnsi="Century Gothic" w:cs="Arial"/>
          <w:i/>
          <w:color w:val="FF0000"/>
          <w:sz w:val="22"/>
          <w:szCs w:val="22"/>
          <w:lang w:eastAsia="es-CO"/>
        </w:rPr>
      </w:pPr>
    </w:p>
    <w:p w14:paraId="3E50C2A2">
      <w:pPr>
        <w:autoSpaceDE w:val="0"/>
        <w:autoSpaceDN w:val="0"/>
        <w:adjustRightInd w:val="0"/>
        <w:rPr>
          <w:rFonts w:ascii="Century Gothic" w:hAnsi="Century Gothic" w:cs="Arial"/>
          <w:i/>
          <w:color w:val="FF0000"/>
          <w:sz w:val="22"/>
          <w:szCs w:val="22"/>
          <w:lang w:eastAsia="es-CO"/>
        </w:rPr>
      </w:pPr>
    </w:p>
    <w:p w14:paraId="3B478CAE">
      <w:pPr>
        <w:autoSpaceDE w:val="0"/>
        <w:autoSpaceDN w:val="0"/>
        <w:adjustRightInd w:val="0"/>
        <w:rPr>
          <w:rFonts w:ascii="Century Gothic" w:hAnsi="Century Gothic" w:cs="Arial"/>
          <w:i/>
          <w:color w:val="FF0000"/>
          <w:sz w:val="22"/>
          <w:szCs w:val="22"/>
          <w:lang w:eastAsia="es-CO"/>
        </w:rPr>
      </w:pPr>
    </w:p>
    <w:p w14:paraId="42ECC228">
      <w:pPr>
        <w:autoSpaceDE w:val="0"/>
        <w:autoSpaceDN w:val="0"/>
        <w:adjustRightInd w:val="0"/>
        <w:rPr>
          <w:rFonts w:ascii="Century Gothic" w:hAnsi="Century Gothic" w:cs="Arial"/>
          <w:i/>
          <w:color w:val="FF0000"/>
          <w:sz w:val="22"/>
          <w:szCs w:val="22"/>
          <w:lang w:eastAsia="es-CO"/>
        </w:rPr>
      </w:pPr>
    </w:p>
    <w:p w14:paraId="0FE1554C">
      <w:pPr>
        <w:autoSpaceDE w:val="0"/>
        <w:autoSpaceDN w:val="0"/>
        <w:adjustRightInd w:val="0"/>
        <w:rPr>
          <w:rFonts w:ascii="Century Gothic" w:hAnsi="Century Gothic" w:cs="Arial"/>
          <w:i/>
          <w:color w:val="FF0000"/>
          <w:sz w:val="22"/>
          <w:szCs w:val="22"/>
          <w:lang w:eastAsia="es-CO"/>
        </w:rPr>
      </w:pPr>
    </w:p>
    <w:p w14:paraId="5291F324">
      <w:pPr>
        <w:autoSpaceDE w:val="0"/>
        <w:autoSpaceDN w:val="0"/>
        <w:adjustRightInd w:val="0"/>
        <w:rPr>
          <w:rFonts w:ascii="Century Gothic" w:hAnsi="Century Gothic" w:cs="Arial"/>
          <w:i/>
          <w:color w:val="FF0000"/>
          <w:sz w:val="22"/>
          <w:szCs w:val="22"/>
          <w:lang w:eastAsia="es-CO"/>
        </w:rPr>
      </w:pPr>
    </w:p>
    <w:p w14:paraId="44297E33">
      <w:pPr>
        <w:autoSpaceDE w:val="0"/>
        <w:autoSpaceDN w:val="0"/>
        <w:adjustRightInd w:val="0"/>
        <w:rPr>
          <w:rFonts w:ascii="Century Gothic" w:hAnsi="Century Gothic" w:cs="Arial"/>
          <w:i/>
          <w:color w:val="FF0000"/>
          <w:sz w:val="22"/>
          <w:szCs w:val="22"/>
          <w:lang w:eastAsia="es-CO"/>
        </w:rPr>
      </w:pPr>
    </w:p>
    <w:p w14:paraId="06DB475E">
      <w:pPr>
        <w:autoSpaceDE w:val="0"/>
        <w:autoSpaceDN w:val="0"/>
        <w:adjustRightInd w:val="0"/>
        <w:rPr>
          <w:rFonts w:ascii="Century Gothic" w:hAnsi="Century Gothic" w:cs="Arial"/>
          <w:i/>
          <w:color w:val="FF0000"/>
          <w:sz w:val="22"/>
          <w:szCs w:val="22"/>
          <w:lang w:eastAsia="es-CO"/>
        </w:rPr>
      </w:pPr>
    </w:p>
    <w:p w14:paraId="254D96A6">
      <w:pPr>
        <w:autoSpaceDE w:val="0"/>
        <w:autoSpaceDN w:val="0"/>
        <w:adjustRightInd w:val="0"/>
        <w:rPr>
          <w:rFonts w:ascii="Century Gothic" w:hAnsi="Century Gothic" w:cs="Arial"/>
          <w:i/>
          <w:color w:val="FF0000"/>
          <w:sz w:val="22"/>
          <w:szCs w:val="22"/>
          <w:lang w:eastAsia="es-CO"/>
        </w:rPr>
      </w:pPr>
    </w:p>
    <w:p w14:paraId="2C992C4E">
      <w:pPr>
        <w:autoSpaceDE w:val="0"/>
        <w:autoSpaceDN w:val="0"/>
        <w:adjustRightInd w:val="0"/>
        <w:rPr>
          <w:rFonts w:ascii="Century Gothic" w:hAnsi="Century Gothic" w:cs="Arial"/>
          <w:i/>
          <w:color w:val="FF0000"/>
          <w:sz w:val="22"/>
          <w:szCs w:val="22"/>
          <w:lang w:eastAsia="es-CO"/>
        </w:rPr>
      </w:pPr>
    </w:p>
    <w:p w14:paraId="0B45898D">
      <w:pPr>
        <w:autoSpaceDE w:val="0"/>
        <w:autoSpaceDN w:val="0"/>
        <w:adjustRightInd w:val="0"/>
        <w:rPr>
          <w:rFonts w:ascii="Century Gothic" w:hAnsi="Century Gothic" w:cs="Arial"/>
          <w:i/>
          <w:color w:val="FF0000"/>
          <w:sz w:val="22"/>
          <w:szCs w:val="22"/>
          <w:lang w:eastAsia="es-CO"/>
        </w:rPr>
      </w:pPr>
    </w:p>
    <w:p w14:paraId="05BA9834">
      <w:pPr>
        <w:autoSpaceDE w:val="0"/>
        <w:autoSpaceDN w:val="0"/>
        <w:adjustRightInd w:val="0"/>
        <w:rPr>
          <w:rFonts w:ascii="Century Gothic" w:hAnsi="Century Gothic" w:cs="Arial"/>
          <w:i/>
          <w:color w:val="FF0000"/>
          <w:sz w:val="22"/>
          <w:szCs w:val="22"/>
          <w:lang w:eastAsia="es-CO"/>
        </w:rPr>
      </w:pPr>
    </w:p>
    <w:p w14:paraId="626DBC49">
      <w:pPr>
        <w:autoSpaceDE w:val="0"/>
        <w:autoSpaceDN w:val="0"/>
        <w:adjustRightInd w:val="0"/>
        <w:rPr>
          <w:rFonts w:ascii="Century Gothic" w:hAnsi="Century Gothic" w:cs="Arial"/>
          <w:i/>
          <w:color w:val="FF0000"/>
          <w:sz w:val="22"/>
          <w:szCs w:val="22"/>
          <w:lang w:eastAsia="es-CO"/>
        </w:rPr>
      </w:pPr>
    </w:p>
    <w:p w14:paraId="26DD1B9B">
      <w:pPr>
        <w:autoSpaceDE w:val="0"/>
        <w:autoSpaceDN w:val="0"/>
        <w:adjustRightInd w:val="0"/>
        <w:rPr>
          <w:rFonts w:ascii="Century Gothic" w:hAnsi="Century Gothic" w:cs="Arial"/>
          <w:i/>
          <w:color w:val="FF0000"/>
          <w:sz w:val="22"/>
          <w:szCs w:val="22"/>
          <w:lang w:eastAsia="es-CO"/>
        </w:rPr>
      </w:pPr>
    </w:p>
    <w:p w14:paraId="0B78D00B">
      <w:pPr>
        <w:autoSpaceDE w:val="0"/>
        <w:autoSpaceDN w:val="0"/>
        <w:adjustRightInd w:val="0"/>
        <w:rPr>
          <w:rFonts w:ascii="Century Gothic" w:hAnsi="Century Gothic" w:cs="Arial"/>
          <w:i/>
          <w:color w:val="FF0000"/>
          <w:sz w:val="22"/>
          <w:szCs w:val="22"/>
          <w:lang w:eastAsia="es-CO"/>
        </w:rPr>
      </w:pPr>
    </w:p>
    <w:p w14:paraId="34D1FB75">
      <w:pPr>
        <w:autoSpaceDE w:val="0"/>
        <w:autoSpaceDN w:val="0"/>
        <w:adjustRightInd w:val="0"/>
        <w:rPr>
          <w:rFonts w:ascii="Century Gothic" w:hAnsi="Century Gothic" w:cs="Arial"/>
          <w:i/>
          <w:color w:val="FF0000"/>
          <w:sz w:val="22"/>
          <w:szCs w:val="22"/>
          <w:lang w:eastAsia="es-CO"/>
        </w:rPr>
      </w:pPr>
    </w:p>
    <w:p w14:paraId="76A87996">
      <w:pPr>
        <w:autoSpaceDE w:val="0"/>
        <w:autoSpaceDN w:val="0"/>
        <w:adjustRightInd w:val="0"/>
        <w:rPr>
          <w:rFonts w:ascii="Century Gothic" w:hAnsi="Century Gothic" w:cs="Arial"/>
          <w:i/>
          <w:color w:val="FF0000"/>
          <w:sz w:val="22"/>
          <w:szCs w:val="22"/>
          <w:lang w:eastAsia="es-CO"/>
        </w:rPr>
      </w:pPr>
    </w:p>
    <w:p w14:paraId="384D77A3">
      <w:pPr>
        <w:autoSpaceDE w:val="0"/>
        <w:autoSpaceDN w:val="0"/>
        <w:adjustRightInd w:val="0"/>
        <w:rPr>
          <w:rFonts w:ascii="Century Gothic" w:hAnsi="Century Gothic" w:cs="Arial"/>
          <w:i/>
          <w:color w:val="FF0000"/>
          <w:sz w:val="22"/>
          <w:szCs w:val="22"/>
          <w:lang w:eastAsia="es-CO"/>
        </w:rPr>
      </w:pPr>
    </w:p>
    <w:p w14:paraId="0EF383B5">
      <w:pPr>
        <w:autoSpaceDE w:val="0"/>
        <w:autoSpaceDN w:val="0"/>
        <w:adjustRightInd w:val="0"/>
        <w:rPr>
          <w:rFonts w:ascii="Century Gothic" w:hAnsi="Century Gothic" w:cs="Arial"/>
          <w:i/>
          <w:color w:val="FF0000"/>
          <w:sz w:val="22"/>
          <w:szCs w:val="22"/>
          <w:lang w:eastAsia="es-CO"/>
        </w:rPr>
      </w:pPr>
    </w:p>
    <w:p w14:paraId="2F1061EA">
      <w:pPr>
        <w:autoSpaceDE w:val="0"/>
        <w:autoSpaceDN w:val="0"/>
        <w:adjustRightInd w:val="0"/>
        <w:rPr>
          <w:rFonts w:ascii="Century Gothic" w:hAnsi="Century Gothic" w:cs="Arial"/>
          <w:i/>
          <w:color w:val="FF0000"/>
          <w:sz w:val="22"/>
          <w:szCs w:val="22"/>
          <w:lang w:eastAsia="es-CO"/>
        </w:rPr>
      </w:pPr>
    </w:p>
    <w:p w14:paraId="00A29A57">
      <w:pPr>
        <w:autoSpaceDE w:val="0"/>
        <w:autoSpaceDN w:val="0"/>
        <w:adjustRightInd w:val="0"/>
        <w:rPr>
          <w:rFonts w:ascii="Century Gothic" w:hAnsi="Century Gothic" w:cs="Arial"/>
          <w:i/>
          <w:color w:val="FF0000"/>
          <w:sz w:val="22"/>
          <w:szCs w:val="22"/>
          <w:lang w:eastAsia="es-CO"/>
        </w:rPr>
      </w:pPr>
    </w:p>
    <w:p w14:paraId="05BB4744">
      <w:pPr>
        <w:pStyle w:val="65"/>
        <w:numPr>
          <w:ilvl w:val="0"/>
          <w:numId w:val="8"/>
        </w:numPr>
        <w:autoSpaceDE w:val="0"/>
        <w:autoSpaceDN w:val="0"/>
        <w:adjustRightInd w:val="0"/>
        <w:jc w:val="center"/>
        <w:rPr>
          <w:rFonts w:ascii="Century Gothic" w:hAnsi="Century Gothic" w:cs="Arial"/>
          <w:b/>
          <w:bCs/>
          <w:sz w:val="22"/>
          <w:szCs w:val="22"/>
          <w:lang w:eastAsia="es-CO"/>
        </w:rPr>
      </w:pPr>
      <w:r>
        <w:rPr>
          <w:rFonts w:ascii="Century Gothic" w:hAnsi="Century Gothic" w:cs="Arial"/>
          <w:b/>
          <w:bCs/>
          <w:sz w:val="22"/>
          <w:szCs w:val="22"/>
          <w:lang w:eastAsia="es-CO"/>
        </w:rPr>
        <w:t>ANEXOS</w:t>
      </w:r>
    </w:p>
    <w:p w14:paraId="224154F8">
      <w:pPr>
        <w:autoSpaceDE w:val="0"/>
        <w:autoSpaceDN w:val="0"/>
        <w:adjustRightInd w:val="0"/>
        <w:jc w:val="center"/>
        <w:rPr>
          <w:rFonts w:ascii="Century Gothic" w:hAnsi="Century Gothic" w:cs="Arial"/>
          <w:b/>
          <w:bCs/>
          <w:sz w:val="22"/>
          <w:szCs w:val="22"/>
          <w:lang w:eastAsia="es-CO"/>
        </w:rPr>
      </w:pPr>
    </w:p>
    <w:p w14:paraId="6EBF27FE">
      <w:pPr>
        <w:autoSpaceDE w:val="0"/>
        <w:autoSpaceDN w:val="0"/>
        <w:adjustRightInd w:val="0"/>
        <w:rPr>
          <w:rFonts w:ascii="Century Gothic" w:hAnsi="Century Gothic" w:cs="Arial"/>
          <w:bCs/>
          <w:sz w:val="22"/>
          <w:szCs w:val="22"/>
          <w:lang w:eastAsia="es-CO"/>
        </w:rPr>
      </w:pPr>
      <w:r>
        <w:rPr>
          <w:rFonts w:ascii="Century Gothic" w:hAnsi="Century Gothic" w:cs="Arial"/>
          <w:bCs/>
          <w:sz w:val="22"/>
          <w:szCs w:val="22"/>
          <w:lang w:eastAsia="es-CO"/>
        </w:rPr>
        <w:t>Hace referencia a los formatos desarrollados por la Entidad para contrarrestar el riesgo de Lavado de Activos y Financiación del Terrorismo - LA/FT.</w:t>
      </w:r>
    </w:p>
    <w:p w14:paraId="49D0BB59">
      <w:pPr>
        <w:autoSpaceDE w:val="0"/>
        <w:autoSpaceDN w:val="0"/>
        <w:adjustRightInd w:val="0"/>
        <w:rPr>
          <w:rFonts w:ascii="Century Gothic" w:hAnsi="Century Gothic" w:cs="Arial"/>
          <w:bCs/>
          <w:sz w:val="22"/>
          <w:szCs w:val="22"/>
          <w:lang w:eastAsia="es-CO"/>
        </w:rPr>
      </w:pPr>
    </w:p>
    <w:p w14:paraId="2B8FE08F">
      <w:pPr>
        <w:pStyle w:val="65"/>
        <w:numPr>
          <w:ilvl w:val="1"/>
          <w:numId w:val="103"/>
        </w:num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Autorización persona natural y persona jurídica</w:t>
      </w:r>
    </w:p>
    <w:p w14:paraId="685A42C3">
      <w:pPr>
        <w:autoSpaceDE w:val="0"/>
        <w:autoSpaceDN w:val="0"/>
        <w:adjustRightInd w:val="0"/>
        <w:rPr>
          <w:rFonts w:ascii="Century Gothic" w:hAnsi="Century Gothic" w:cs="Arial"/>
          <w:b/>
          <w:bCs/>
          <w:sz w:val="22"/>
          <w:szCs w:val="22"/>
          <w:lang w:eastAsia="es-CO"/>
        </w:rPr>
      </w:pPr>
    </w:p>
    <w:p w14:paraId="07D9550C">
      <w:pPr>
        <w:pStyle w:val="86"/>
        <w:jc w:val="both"/>
        <w:rPr>
          <w:rFonts w:ascii="Century Gothic" w:hAnsi="Century Gothic" w:cs="Arial"/>
          <w:sz w:val="22"/>
          <w:szCs w:val="22"/>
        </w:rPr>
      </w:pPr>
      <w:r>
        <w:rPr>
          <w:rFonts w:ascii="Century Gothic" w:hAnsi="Century Gothic" w:cs="Calibri"/>
          <w:sz w:val="22"/>
          <w:szCs w:val="22"/>
        </w:rPr>
        <w:t xml:space="preserve">La  Entidad </w:t>
      </w:r>
      <w:r>
        <w:rPr>
          <w:rFonts w:ascii="Century Gothic" w:hAnsi="Century Gothic" w:cs="Arial"/>
          <w:sz w:val="22"/>
          <w:szCs w:val="22"/>
        </w:rPr>
        <w:t>previo a la vinculación de nuevos asociados, empleados,  relacionados contractuales, ya sean personas naturales o jurídicas; solicitará el diligenciamiento y firma de los siguientes formularios, a fin de que ésta quede facultada para llevar a cabo las diferentes autorizaciones expuestas allí.</w:t>
      </w:r>
    </w:p>
    <w:p w14:paraId="08226093">
      <w:pPr>
        <w:autoSpaceDE w:val="0"/>
        <w:autoSpaceDN w:val="0"/>
        <w:adjustRightInd w:val="0"/>
        <w:rPr>
          <w:rFonts w:ascii="Century Gothic" w:hAnsi="Century Gothic" w:cs="Arial"/>
          <w:b/>
          <w:bCs/>
          <w:sz w:val="22"/>
          <w:szCs w:val="22"/>
          <w:lang w:eastAsia="es-CO"/>
        </w:rPr>
      </w:pPr>
    </w:p>
    <w:p w14:paraId="366E2D3E">
      <w:pPr>
        <w:autoSpaceDE w:val="0"/>
        <w:autoSpaceDN w:val="0"/>
        <w:adjustRightInd w:val="0"/>
        <w:rPr>
          <w:rFonts w:ascii="Century Gothic" w:hAnsi="Century Gothic" w:cs="Arial"/>
          <w:b/>
          <w:bCs/>
          <w:sz w:val="22"/>
          <w:szCs w:val="22"/>
          <w:lang w:eastAsia="es-CO"/>
        </w:rPr>
      </w:pPr>
      <w:r>
        <w:rPr>
          <w:rFonts w:ascii="Century Gothic" w:hAnsi="Century Gothic" w:cs="Arial"/>
          <w:b/>
          <w:bCs/>
          <w:sz w:val="22"/>
          <w:szCs w:val="22"/>
          <w:lang w:eastAsia="es-CO"/>
        </w:rPr>
        <w:t>Autorización persona natural</w:t>
      </w:r>
    </w:p>
    <w:p w14:paraId="3BCA61A4">
      <w:pPr>
        <w:autoSpaceDE w:val="0"/>
        <w:autoSpaceDN w:val="0"/>
        <w:adjustRightInd w:val="0"/>
        <w:jc w:val="center"/>
        <w:rPr>
          <w:rFonts w:ascii="Century Gothic" w:hAnsi="Century Gothic" w:cs="Arial"/>
          <w:b/>
          <w:bCs/>
          <w:sz w:val="22"/>
          <w:szCs w:val="22"/>
          <w:lang w:eastAsia="es-CO"/>
        </w:rPr>
      </w:pPr>
    </w:p>
    <w:p w14:paraId="5E109A4E">
      <w:pPr>
        <w:autoSpaceDE w:val="0"/>
        <w:autoSpaceDN w:val="0"/>
        <w:adjustRightInd w:val="0"/>
        <w:jc w:val="center"/>
        <w:rPr>
          <w:rFonts w:ascii="Century Gothic" w:hAnsi="Century Gothic" w:cs="Arial"/>
          <w:b/>
          <w:bCs/>
          <w:sz w:val="22"/>
          <w:szCs w:val="22"/>
          <w:lang w:eastAsia="es-CO"/>
        </w:rPr>
      </w:pPr>
      <w:r>
        <w:rPr>
          <w:lang w:eastAsia="es-CO"/>
        </w:rPr>
        <w:drawing>
          <wp:anchor distT="0" distB="0" distL="114300" distR="114300" simplePos="0" relativeHeight="251668480" behindDoc="1" locked="0" layoutInCell="1" allowOverlap="1">
            <wp:simplePos x="0" y="0"/>
            <wp:positionH relativeFrom="column">
              <wp:posOffset>-581025</wp:posOffset>
            </wp:positionH>
            <wp:positionV relativeFrom="paragraph">
              <wp:posOffset>266065</wp:posOffset>
            </wp:positionV>
            <wp:extent cx="6517640" cy="4144010"/>
            <wp:effectExtent l="0" t="0" r="0" b="889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a:picLocks noChangeAspect="1"/>
                    </pic:cNvPicPr>
                  </pic:nvPicPr>
                  <pic:blipFill>
                    <a:blip r:embed="rId10" cstate="print">
                      <a:extLst>
                        <a:ext uri="{28A0092B-C50C-407E-A947-70E740481C1C}">
                          <a14:useLocalDpi xmlns:a14="http://schemas.microsoft.com/office/drawing/2010/main" val="0"/>
                        </a:ext>
                      </a:extLst>
                    </a:blip>
                    <a:srcRect l="15870" t="18735" r="17898" b="6677"/>
                    <a:stretch>
                      <a:fillRect/>
                    </a:stretch>
                  </pic:blipFill>
                  <pic:spPr>
                    <a:xfrm>
                      <a:off x="0" y="0"/>
                      <a:ext cx="6534149" cy="4154658"/>
                    </a:xfrm>
                    <a:prstGeom prst="rect">
                      <a:avLst/>
                    </a:prstGeom>
                    <a:ln>
                      <a:noFill/>
                    </a:ln>
                  </pic:spPr>
                </pic:pic>
              </a:graphicData>
            </a:graphic>
          </wp:anchor>
        </w:drawing>
      </w:r>
    </w:p>
    <w:p w14:paraId="61C81D2D">
      <w:pPr>
        <w:autoSpaceDE w:val="0"/>
        <w:autoSpaceDN w:val="0"/>
        <w:adjustRightInd w:val="0"/>
        <w:jc w:val="center"/>
        <w:rPr>
          <w:rFonts w:ascii="Century Gothic" w:hAnsi="Century Gothic" w:cs="Arial"/>
          <w:b/>
          <w:bCs/>
          <w:sz w:val="22"/>
          <w:szCs w:val="22"/>
          <w:lang w:eastAsia="es-CO"/>
        </w:rPr>
      </w:pPr>
    </w:p>
    <w:p w14:paraId="1033A3A8">
      <w:pPr>
        <w:autoSpaceDE w:val="0"/>
        <w:autoSpaceDN w:val="0"/>
        <w:adjustRightInd w:val="0"/>
        <w:jc w:val="center"/>
        <w:rPr>
          <w:rFonts w:ascii="Century Gothic" w:hAnsi="Century Gothic" w:cs="Arial"/>
          <w:b/>
          <w:bCs/>
          <w:sz w:val="22"/>
          <w:szCs w:val="22"/>
          <w:lang w:eastAsia="es-CO"/>
        </w:rPr>
      </w:pPr>
    </w:p>
    <w:p w14:paraId="281A2C6A">
      <w:pPr>
        <w:autoSpaceDE w:val="0"/>
        <w:autoSpaceDN w:val="0"/>
        <w:adjustRightInd w:val="0"/>
        <w:jc w:val="center"/>
        <w:rPr>
          <w:rFonts w:ascii="Century Gothic" w:hAnsi="Century Gothic" w:cs="Arial"/>
          <w:b/>
          <w:bCs/>
          <w:sz w:val="22"/>
          <w:szCs w:val="22"/>
          <w:lang w:eastAsia="es-CO"/>
        </w:rPr>
      </w:pPr>
    </w:p>
    <w:p w14:paraId="0F26A3D2">
      <w:pPr>
        <w:autoSpaceDE w:val="0"/>
        <w:autoSpaceDN w:val="0"/>
        <w:adjustRightInd w:val="0"/>
        <w:jc w:val="center"/>
        <w:rPr>
          <w:rFonts w:ascii="Century Gothic" w:hAnsi="Century Gothic" w:cs="Arial"/>
          <w:b/>
          <w:bCs/>
          <w:sz w:val="22"/>
          <w:szCs w:val="22"/>
          <w:lang w:eastAsia="es-CO"/>
        </w:rPr>
      </w:pPr>
    </w:p>
    <w:p w14:paraId="58676370">
      <w:pPr>
        <w:autoSpaceDE w:val="0"/>
        <w:autoSpaceDN w:val="0"/>
        <w:adjustRightInd w:val="0"/>
        <w:jc w:val="center"/>
        <w:rPr>
          <w:rFonts w:ascii="Century Gothic" w:hAnsi="Century Gothic" w:cs="Arial"/>
          <w:b/>
          <w:bCs/>
          <w:sz w:val="22"/>
          <w:szCs w:val="22"/>
          <w:lang w:eastAsia="es-CO"/>
        </w:rPr>
      </w:pPr>
    </w:p>
    <w:p w14:paraId="115EA9B7">
      <w:pPr>
        <w:autoSpaceDE w:val="0"/>
        <w:autoSpaceDN w:val="0"/>
        <w:adjustRightInd w:val="0"/>
        <w:jc w:val="center"/>
        <w:rPr>
          <w:rFonts w:ascii="Century Gothic" w:hAnsi="Century Gothic" w:cs="Arial"/>
          <w:b/>
          <w:bCs/>
          <w:sz w:val="22"/>
          <w:szCs w:val="22"/>
          <w:lang w:eastAsia="es-CO"/>
        </w:rPr>
      </w:pPr>
    </w:p>
    <w:p w14:paraId="77A185C7">
      <w:pPr>
        <w:autoSpaceDE w:val="0"/>
        <w:autoSpaceDN w:val="0"/>
        <w:adjustRightInd w:val="0"/>
        <w:jc w:val="center"/>
        <w:rPr>
          <w:rFonts w:ascii="Century Gothic" w:hAnsi="Century Gothic" w:cs="Arial"/>
          <w:b/>
          <w:bCs/>
          <w:sz w:val="22"/>
          <w:szCs w:val="22"/>
          <w:lang w:eastAsia="es-CO"/>
        </w:rPr>
      </w:pPr>
    </w:p>
    <w:p w14:paraId="0A961B42">
      <w:pPr>
        <w:autoSpaceDE w:val="0"/>
        <w:autoSpaceDN w:val="0"/>
        <w:adjustRightInd w:val="0"/>
        <w:jc w:val="center"/>
        <w:rPr>
          <w:rFonts w:ascii="Century Gothic" w:hAnsi="Century Gothic" w:cs="Arial"/>
          <w:b/>
          <w:bCs/>
          <w:sz w:val="22"/>
          <w:szCs w:val="22"/>
          <w:lang w:eastAsia="es-CO"/>
        </w:rPr>
      </w:pPr>
    </w:p>
    <w:p w14:paraId="3BA05F1C">
      <w:pPr>
        <w:autoSpaceDE w:val="0"/>
        <w:autoSpaceDN w:val="0"/>
        <w:adjustRightInd w:val="0"/>
        <w:jc w:val="center"/>
        <w:rPr>
          <w:rFonts w:ascii="Century Gothic" w:hAnsi="Century Gothic" w:cs="Arial"/>
          <w:b/>
          <w:bCs/>
          <w:sz w:val="22"/>
          <w:szCs w:val="22"/>
          <w:lang w:eastAsia="es-CO"/>
        </w:rPr>
      </w:pPr>
    </w:p>
    <w:p w14:paraId="126D8E7D">
      <w:pPr>
        <w:autoSpaceDE w:val="0"/>
        <w:autoSpaceDN w:val="0"/>
        <w:adjustRightInd w:val="0"/>
        <w:jc w:val="center"/>
        <w:rPr>
          <w:rFonts w:ascii="Century Gothic" w:hAnsi="Century Gothic" w:cs="Arial"/>
          <w:b/>
          <w:bCs/>
          <w:sz w:val="22"/>
          <w:szCs w:val="22"/>
          <w:lang w:eastAsia="es-CO"/>
        </w:rPr>
      </w:pPr>
    </w:p>
    <w:p w14:paraId="100018AC">
      <w:pPr>
        <w:autoSpaceDE w:val="0"/>
        <w:autoSpaceDN w:val="0"/>
        <w:adjustRightInd w:val="0"/>
        <w:jc w:val="center"/>
        <w:rPr>
          <w:rFonts w:ascii="Century Gothic" w:hAnsi="Century Gothic" w:cs="Arial"/>
          <w:b/>
          <w:bCs/>
          <w:sz w:val="22"/>
          <w:szCs w:val="22"/>
          <w:lang w:eastAsia="es-CO"/>
        </w:rPr>
      </w:pPr>
    </w:p>
    <w:p w14:paraId="1AB5FE3C">
      <w:pPr>
        <w:autoSpaceDE w:val="0"/>
        <w:autoSpaceDN w:val="0"/>
        <w:adjustRightInd w:val="0"/>
        <w:rPr>
          <w:rFonts w:ascii="Century Gothic" w:hAnsi="Century Gothic" w:cs="Arial"/>
          <w:i/>
          <w:color w:val="FF0000"/>
          <w:sz w:val="22"/>
          <w:szCs w:val="22"/>
          <w:lang w:eastAsia="es-CO"/>
        </w:rPr>
      </w:pPr>
    </w:p>
    <w:p w14:paraId="52E6FC5E">
      <w:pPr>
        <w:autoSpaceDE w:val="0"/>
        <w:autoSpaceDN w:val="0"/>
        <w:adjustRightInd w:val="0"/>
        <w:rPr>
          <w:rFonts w:ascii="Century Gothic" w:hAnsi="Century Gothic" w:cs="Arial"/>
          <w:i/>
          <w:color w:val="FF0000"/>
          <w:sz w:val="22"/>
          <w:szCs w:val="22"/>
          <w:lang w:eastAsia="es-CO"/>
        </w:rPr>
      </w:pPr>
    </w:p>
    <w:p w14:paraId="3E8DD416">
      <w:pPr>
        <w:autoSpaceDE w:val="0"/>
        <w:autoSpaceDN w:val="0"/>
        <w:adjustRightInd w:val="0"/>
        <w:rPr>
          <w:rFonts w:ascii="Century Gothic" w:hAnsi="Century Gothic" w:cs="Arial"/>
          <w:i/>
          <w:color w:val="FF0000"/>
          <w:sz w:val="22"/>
          <w:szCs w:val="22"/>
          <w:lang w:eastAsia="es-CO"/>
        </w:rPr>
      </w:pPr>
    </w:p>
    <w:p w14:paraId="620E25C9">
      <w:pPr>
        <w:autoSpaceDE w:val="0"/>
        <w:autoSpaceDN w:val="0"/>
        <w:adjustRightInd w:val="0"/>
        <w:rPr>
          <w:rFonts w:ascii="Century Gothic" w:hAnsi="Century Gothic" w:cs="Arial"/>
          <w:i/>
          <w:color w:val="FF0000"/>
          <w:sz w:val="22"/>
          <w:szCs w:val="22"/>
          <w:lang w:eastAsia="es-CO"/>
        </w:rPr>
      </w:pPr>
    </w:p>
    <w:p w14:paraId="53CC6909">
      <w:pPr>
        <w:tabs>
          <w:tab w:val="left" w:pos="3890"/>
        </w:tabs>
        <w:autoSpaceDE w:val="0"/>
        <w:autoSpaceDN w:val="0"/>
        <w:adjustRightInd w:val="0"/>
        <w:rPr>
          <w:rFonts w:ascii="Century Gothic" w:hAnsi="Century Gothic" w:cs="Arial"/>
          <w:i/>
          <w:color w:val="FF0000"/>
          <w:sz w:val="22"/>
          <w:szCs w:val="22"/>
          <w:lang w:eastAsia="es-CO"/>
        </w:rPr>
      </w:pPr>
      <w:r>
        <w:rPr>
          <w:rFonts w:ascii="Century Gothic" w:hAnsi="Century Gothic" w:cs="Arial"/>
          <w:i/>
          <w:color w:val="FF0000"/>
          <w:sz w:val="22"/>
          <w:szCs w:val="22"/>
          <w:lang w:eastAsia="es-CO"/>
        </w:rPr>
        <w:tab/>
      </w:r>
    </w:p>
    <w:p w14:paraId="63E65004">
      <w:pPr>
        <w:autoSpaceDE w:val="0"/>
        <w:autoSpaceDN w:val="0"/>
        <w:adjustRightInd w:val="0"/>
        <w:rPr>
          <w:rFonts w:ascii="Century Gothic" w:hAnsi="Century Gothic" w:cs="Arial"/>
          <w:i/>
          <w:color w:val="FF0000"/>
          <w:sz w:val="22"/>
          <w:szCs w:val="22"/>
          <w:lang w:eastAsia="es-CO"/>
        </w:rPr>
      </w:pPr>
    </w:p>
    <w:p w14:paraId="159889D0">
      <w:pPr>
        <w:autoSpaceDE w:val="0"/>
        <w:autoSpaceDN w:val="0"/>
        <w:adjustRightInd w:val="0"/>
        <w:rPr>
          <w:rFonts w:ascii="Century Gothic" w:hAnsi="Century Gothic" w:cs="Arial"/>
          <w:i/>
          <w:color w:val="FF0000"/>
          <w:sz w:val="22"/>
          <w:szCs w:val="22"/>
          <w:lang w:eastAsia="es-CO"/>
        </w:rPr>
      </w:pPr>
    </w:p>
    <w:p w14:paraId="6FAD2234">
      <w:pPr>
        <w:autoSpaceDE w:val="0"/>
        <w:autoSpaceDN w:val="0"/>
        <w:adjustRightInd w:val="0"/>
        <w:rPr>
          <w:rFonts w:ascii="Century Gothic" w:hAnsi="Century Gothic" w:cs="Arial"/>
          <w:i/>
          <w:color w:val="FF0000"/>
          <w:sz w:val="22"/>
          <w:szCs w:val="22"/>
          <w:lang w:eastAsia="es-CO"/>
        </w:rPr>
      </w:pPr>
    </w:p>
    <w:p w14:paraId="600615F5">
      <w:pPr>
        <w:autoSpaceDE w:val="0"/>
        <w:autoSpaceDN w:val="0"/>
        <w:adjustRightInd w:val="0"/>
        <w:rPr>
          <w:rFonts w:ascii="Century Gothic" w:hAnsi="Century Gothic" w:cs="Arial"/>
          <w:i/>
          <w:color w:val="FF0000"/>
          <w:sz w:val="22"/>
          <w:szCs w:val="22"/>
          <w:lang w:eastAsia="es-CO"/>
        </w:rPr>
      </w:pPr>
    </w:p>
    <w:p w14:paraId="64853596">
      <w:pPr>
        <w:autoSpaceDE w:val="0"/>
        <w:autoSpaceDN w:val="0"/>
        <w:adjustRightInd w:val="0"/>
        <w:rPr>
          <w:rFonts w:ascii="Century Gothic" w:hAnsi="Century Gothic" w:cs="Arial"/>
          <w:i/>
          <w:color w:val="FF0000"/>
          <w:sz w:val="22"/>
          <w:szCs w:val="22"/>
          <w:lang w:eastAsia="es-CO"/>
        </w:rPr>
      </w:pPr>
    </w:p>
    <w:p w14:paraId="6565B6AC">
      <w:pPr>
        <w:autoSpaceDE w:val="0"/>
        <w:autoSpaceDN w:val="0"/>
        <w:adjustRightInd w:val="0"/>
        <w:rPr>
          <w:rFonts w:ascii="Century Gothic" w:hAnsi="Century Gothic" w:cs="Arial"/>
          <w:i/>
          <w:color w:val="FF0000"/>
          <w:sz w:val="22"/>
          <w:szCs w:val="22"/>
          <w:lang w:eastAsia="es-CO"/>
        </w:rPr>
      </w:pPr>
    </w:p>
    <w:p w14:paraId="0A1DD601">
      <w:pPr>
        <w:autoSpaceDE w:val="0"/>
        <w:autoSpaceDN w:val="0"/>
        <w:adjustRightInd w:val="0"/>
        <w:rPr>
          <w:rFonts w:ascii="Century Gothic" w:hAnsi="Century Gothic" w:cs="Arial"/>
          <w:i/>
          <w:color w:val="FF0000"/>
          <w:sz w:val="22"/>
          <w:szCs w:val="22"/>
          <w:lang w:eastAsia="es-CO"/>
        </w:rPr>
      </w:pPr>
    </w:p>
    <w:p w14:paraId="17EBBAAB">
      <w:pPr>
        <w:autoSpaceDE w:val="0"/>
        <w:autoSpaceDN w:val="0"/>
        <w:adjustRightInd w:val="0"/>
        <w:rPr>
          <w:rFonts w:ascii="Century Gothic" w:hAnsi="Century Gothic" w:cs="Arial"/>
          <w:i/>
          <w:color w:val="FF0000"/>
          <w:sz w:val="22"/>
          <w:szCs w:val="22"/>
          <w:lang w:eastAsia="es-CO"/>
        </w:rPr>
      </w:pPr>
    </w:p>
    <w:p w14:paraId="4964FE3F">
      <w:pPr>
        <w:autoSpaceDE w:val="0"/>
        <w:autoSpaceDN w:val="0"/>
        <w:adjustRightInd w:val="0"/>
        <w:rPr>
          <w:rFonts w:ascii="Century Gothic" w:hAnsi="Century Gothic" w:cs="Arial"/>
          <w:i/>
          <w:color w:val="FF0000"/>
          <w:sz w:val="22"/>
          <w:szCs w:val="22"/>
          <w:lang w:eastAsia="es-CO"/>
        </w:rPr>
      </w:pPr>
    </w:p>
    <w:p w14:paraId="427AA5B5">
      <w:pPr>
        <w:autoSpaceDE w:val="0"/>
        <w:autoSpaceDN w:val="0"/>
        <w:adjustRightInd w:val="0"/>
        <w:rPr>
          <w:rFonts w:ascii="Century Gothic" w:hAnsi="Century Gothic" w:cs="Arial"/>
          <w:sz w:val="22"/>
          <w:szCs w:val="22"/>
          <w:lang w:eastAsia="es-CO"/>
        </w:rPr>
      </w:pPr>
    </w:p>
    <w:p w14:paraId="7633DD07">
      <w:pPr>
        <w:autoSpaceDE w:val="0"/>
        <w:autoSpaceDN w:val="0"/>
        <w:adjustRightInd w:val="0"/>
        <w:rPr>
          <w:rFonts w:ascii="Century Gothic" w:hAnsi="Century Gothic" w:cs="Arial"/>
          <w:i/>
          <w:color w:val="FF0000"/>
          <w:sz w:val="22"/>
          <w:szCs w:val="22"/>
          <w:lang w:eastAsia="es-CO"/>
        </w:rPr>
      </w:pPr>
    </w:p>
    <w:p w14:paraId="0A28631C">
      <w:pPr>
        <w:autoSpaceDE w:val="0"/>
        <w:autoSpaceDN w:val="0"/>
        <w:adjustRightInd w:val="0"/>
        <w:rPr>
          <w:rFonts w:ascii="Century Gothic" w:hAnsi="Century Gothic" w:cs="Arial"/>
          <w:b/>
          <w:sz w:val="22"/>
          <w:szCs w:val="22"/>
          <w:lang w:eastAsia="es-CO"/>
        </w:rPr>
      </w:pPr>
      <w:r>
        <w:rPr>
          <w:rFonts w:ascii="Century Gothic" w:hAnsi="Century Gothic" w:cs="Arial"/>
          <w:b/>
          <w:sz w:val="22"/>
          <w:szCs w:val="22"/>
          <w:lang w:eastAsia="es-CO"/>
        </w:rPr>
        <w:t>Autorización persona jurídica</w:t>
      </w:r>
    </w:p>
    <w:p w14:paraId="4A6ED6E1">
      <w:pPr>
        <w:autoSpaceDE w:val="0"/>
        <w:autoSpaceDN w:val="0"/>
        <w:adjustRightInd w:val="0"/>
        <w:rPr>
          <w:rFonts w:ascii="Century Gothic" w:hAnsi="Century Gothic" w:cs="Arial"/>
          <w:i/>
          <w:sz w:val="22"/>
          <w:szCs w:val="22"/>
          <w:lang w:eastAsia="es-CO"/>
        </w:rPr>
      </w:pPr>
    </w:p>
    <w:p w14:paraId="5ACDBBBD">
      <w:pPr>
        <w:autoSpaceDE w:val="0"/>
        <w:autoSpaceDN w:val="0"/>
        <w:adjustRightInd w:val="0"/>
        <w:rPr>
          <w:rFonts w:ascii="Century Gothic" w:hAnsi="Century Gothic" w:cs="Arial"/>
          <w:i/>
          <w:color w:val="FF0000"/>
          <w:sz w:val="22"/>
          <w:szCs w:val="22"/>
          <w:lang w:eastAsia="es-CO"/>
        </w:rPr>
      </w:pPr>
    </w:p>
    <w:p w14:paraId="137AB047">
      <w:pPr>
        <w:pStyle w:val="3"/>
        <w:rPr>
          <w:rFonts w:ascii="Century Gothic" w:hAnsi="Century Gothic"/>
          <w:sz w:val="22"/>
          <w:szCs w:val="22"/>
        </w:rPr>
      </w:pPr>
      <w:bookmarkStart w:id="137" w:name="_Toc487000734"/>
      <w:bookmarkStart w:id="138" w:name="_Toc487146840"/>
      <w:bookmarkStart w:id="139" w:name="_Toc487144898"/>
      <w:bookmarkStart w:id="140" w:name="_Toc487142880"/>
      <w:bookmarkStart w:id="141" w:name="_Toc487230475"/>
      <w:bookmarkStart w:id="142" w:name="_Toc487176779"/>
      <w:r>
        <w:rPr>
          <w:lang w:eastAsia="es-CO"/>
        </w:rPr>
        <w:drawing>
          <wp:anchor distT="0" distB="0" distL="114300" distR="114300" simplePos="0" relativeHeight="251669504" behindDoc="1" locked="0" layoutInCell="1" allowOverlap="1">
            <wp:simplePos x="0" y="0"/>
            <wp:positionH relativeFrom="column">
              <wp:posOffset>-272415</wp:posOffset>
            </wp:positionH>
            <wp:positionV relativeFrom="paragraph">
              <wp:posOffset>131445</wp:posOffset>
            </wp:positionV>
            <wp:extent cx="6233795" cy="3978275"/>
            <wp:effectExtent l="0" t="0" r="0" b="381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pic:cNvPicPr>
                      <a:picLocks noChangeAspect="1"/>
                    </pic:cNvPicPr>
                  </pic:nvPicPr>
                  <pic:blipFill>
                    <a:blip r:embed="rId11" cstate="print">
                      <a:extLst>
                        <a:ext uri="{28A0092B-C50C-407E-A947-70E740481C1C}">
                          <a14:useLocalDpi xmlns:a14="http://schemas.microsoft.com/office/drawing/2010/main" val="0"/>
                        </a:ext>
                      </a:extLst>
                    </a:blip>
                    <a:srcRect l="6349" t="18365" r="29325" b="8944"/>
                    <a:stretch>
                      <a:fillRect/>
                    </a:stretch>
                  </pic:blipFill>
                  <pic:spPr>
                    <a:xfrm>
                      <a:off x="0" y="0"/>
                      <a:ext cx="6237885" cy="3980794"/>
                    </a:xfrm>
                    <a:prstGeom prst="rect">
                      <a:avLst/>
                    </a:prstGeom>
                    <a:ln>
                      <a:noFill/>
                    </a:ln>
                  </pic:spPr>
                </pic:pic>
              </a:graphicData>
            </a:graphic>
          </wp:anchor>
        </w:drawing>
      </w:r>
    </w:p>
    <w:p w14:paraId="64C96085">
      <w:pPr>
        <w:pStyle w:val="3"/>
        <w:jc w:val="center"/>
        <w:rPr>
          <w:rFonts w:ascii="Century Gothic" w:hAnsi="Century Gothic"/>
          <w:sz w:val="22"/>
          <w:szCs w:val="22"/>
        </w:rPr>
      </w:pPr>
    </w:p>
    <w:p w14:paraId="1C88A828">
      <w:pPr>
        <w:pStyle w:val="3"/>
        <w:jc w:val="center"/>
        <w:rPr>
          <w:rFonts w:ascii="Century Gothic" w:hAnsi="Century Gothic"/>
          <w:sz w:val="22"/>
          <w:szCs w:val="22"/>
        </w:rPr>
      </w:pPr>
    </w:p>
    <w:p w14:paraId="41A7D834">
      <w:pPr>
        <w:pStyle w:val="3"/>
        <w:jc w:val="center"/>
        <w:rPr>
          <w:rFonts w:ascii="Century Gothic" w:hAnsi="Century Gothic"/>
          <w:sz w:val="22"/>
          <w:szCs w:val="22"/>
        </w:rPr>
      </w:pPr>
    </w:p>
    <w:p w14:paraId="5F1E1C47">
      <w:pPr>
        <w:pStyle w:val="3"/>
        <w:jc w:val="center"/>
        <w:rPr>
          <w:rFonts w:ascii="Century Gothic" w:hAnsi="Century Gothic"/>
          <w:sz w:val="22"/>
          <w:szCs w:val="22"/>
        </w:rPr>
      </w:pPr>
    </w:p>
    <w:p w14:paraId="212FC462">
      <w:pPr>
        <w:pStyle w:val="3"/>
        <w:jc w:val="center"/>
        <w:rPr>
          <w:rFonts w:ascii="Century Gothic" w:hAnsi="Century Gothic"/>
          <w:sz w:val="22"/>
          <w:szCs w:val="22"/>
        </w:rPr>
      </w:pPr>
    </w:p>
    <w:p w14:paraId="408DAF5B">
      <w:pPr>
        <w:pStyle w:val="3"/>
        <w:jc w:val="center"/>
        <w:rPr>
          <w:rFonts w:ascii="Century Gothic" w:hAnsi="Century Gothic"/>
          <w:sz w:val="22"/>
          <w:szCs w:val="22"/>
        </w:rPr>
      </w:pPr>
    </w:p>
    <w:p w14:paraId="168D020A">
      <w:pPr>
        <w:pStyle w:val="3"/>
        <w:jc w:val="center"/>
        <w:rPr>
          <w:rFonts w:ascii="Century Gothic" w:hAnsi="Century Gothic"/>
          <w:sz w:val="22"/>
          <w:szCs w:val="22"/>
        </w:rPr>
      </w:pPr>
    </w:p>
    <w:p w14:paraId="3A93F427">
      <w:pPr>
        <w:pStyle w:val="3"/>
        <w:jc w:val="center"/>
        <w:rPr>
          <w:rFonts w:ascii="Century Gothic" w:hAnsi="Century Gothic"/>
          <w:sz w:val="22"/>
          <w:szCs w:val="22"/>
        </w:rPr>
      </w:pPr>
    </w:p>
    <w:p w14:paraId="590A50B0">
      <w:pPr>
        <w:pStyle w:val="3"/>
        <w:jc w:val="center"/>
        <w:rPr>
          <w:rFonts w:ascii="Century Gothic" w:hAnsi="Century Gothic"/>
          <w:sz w:val="22"/>
          <w:szCs w:val="22"/>
        </w:rPr>
      </w:pPr>
    </w:p>
    <w:p w14:paraId="7D0C941B"/>
    <w:p w14:paraId="669AC48B"/>
    <w:p w14:paraId="68B5C589"/>
    <w:p w14:paraId="6B57E687"/>
    <w:p w14:paraId="40B1C0BC"/>
    <w:p w14:paraId="7E3BCB61"/>
    <w:p w14:paraId="56F63555"/>
    <w:p w14:paraId="3E68E9B3"/>
    <w:p w14:paraId="59DA607A"/>
    <w:p w14:paraId="29B40A1A"/>
    <w:p w14:paraId="7AF462DB"/>
    <w:p w14:paraId="5A7308B2"/>
    <w:p w14:paraId="0A218CB4"/>
    <w:p w14:paraId="441F886B"/>
    <w:p w14:paraId="391D78AD"/>
    <w:p w14:paraId="3AAB692D"/>
    <w:p w14:paraId="5CEEC581"/>
    <w:p w14:paraId="474B340B"/>
    <w:p w14:paraId="13BCDBE8">
      <w:pPr>
        <w:pStyle w:val="65"/>
        <w:numPr>
          <w:ilvl w:val="1"/>
          <w:numId w:val="103"/>
        </w:numPr>
        <w:rPr>
          <w:rFonts w:ascii="Century Gothic" w:hAnsi="Century Gothic"/>
          <w:b/>
          <w:sz w:val="22"/>
          <w:szCs w:val="22"/>
        </w:rPr>
      </w:pPr>
      <w:r>
        <w:rPr>
          <w:rFonts w:ascii="Century Gothic" w:hAnsi="Century Gothic"/>
          <w:b/>
          <w:sz w:val="22"/>
          <w:szCs w:val="22"/>
        </w:rPr>
        <w:t>Vinculación y/o actualización  persona natural y persona jurídica.</w:t>
      </w:r>
    </w:p>
    <w:p w14:paraId="0832EAE0">
      <w:pPr>
        <w:rPr>
          <w:rFonts w:ascii="Century Gothic" w:hAnsi="Century Gothic"/>
          <w:sz w:val="22"/>
          <w:szCs w:val="22"/>
        </w:rPr>
      </w:pPr>
    </w:p>
    <w:p w14:paraId="6FA3C76E">
      <w:pPr>
        <w:pStyle w:val="86"/>
        <w:jc w:val="both"/>
        <w:rPr>
          <w:rFonts w:ascii="Century Gothic" w:hAnsi="Century Gothic" w:cs="Arial"/>
          <w:sz w:val="20"/>
          <w:szCs w:val="20"/>
        </w:rPr>
      </w:pPr>
      <w:r>
        <w:rPr>
          <w:rFonts w:ascii="Century Gothic" w:hAnsi="Century Gothic" w:cs="Calibri"/>
          <w:sz w:val="20"/>
          <w:szCs w:val="20"/>
        </w:rPr>
        <w:t xml:space="preserve">La  Entidad </w:t>
      </w:r>
      <w:r>
        <w:rPr>
          <w:rFonts w:ascii="Century Gothic" w:hAnsi="Century Gothic" w:cs="Arial"/>
          <w:sz w:val="20"/>
          <w:szCs w:val="20"/>
        </w:rPr>
        <w:t xml:space="preserve">previo a la aceptación como asociado y/o relacionado contractual diferentes a los proveedores, ya sean personas naturales o jurídicas; solicitará el diligenciamiento y firma de los siguientes formularios; así mismo verificará la veracidad de la información allí contenida. </w:t>
      </w:r>
      <w:r>
        <w:rPr>
          <w:rFonts w:ascii="Century Gothic" w:hAnsi="Century Gothic"/>
          <w:sz w:val="20"/>
          <w:szCs w:val="20"/>
        </w:rPr>
        <w:t>De otra parte, realizará las diligencias necesarias para confirmar y actualizar por lo menos una vez al año, los datos suministrados en el formulario de vinculación y/o actualización, que por su naturaleza puedan variar.</w:t>
      </w:r>
    </w:p>
    <w:p w14:paraId="2CD3ED29">
      <w:pPr>
        <w:rPr>
          <w:rFonts w:ascii="Century Gothic" w:hAnsi="Century Gothic"/>
          <w:sz w:val="22"/>
          <w:szCs w:val="22"/>
        </w:rPr>
      </w:pPr>
    </w:p>
    <w:p w14:paraId="2189744E">
      <w:pPr>
        <w:rPr>
          <w:rFonts w:ascii="Century Gothic" w:hAnsi="Century Gothic"/>
          <w:b/>
          <w:sz w:val="22"/>
          <w:szCs w:val="22"/>
        </w:rPr>
      </w:pPr>
      <w:r>
        <w:rPr>
          <w:rFonts w:ascii="Century Gothic" w:hAnsi="Century Gothic"/>
          <w:b/>
          <w:sz w:val="22"/>
          <w:szCs w:val="22"/>
        </w:rPr>
        <w:t>Vinculación y/o actualización  persona natural</w:t>
      </w:r>
    </w:p>
    <w:p w14:paraId="2477853A">
      <w:pPr>
        <w:rPr>
          <w:rFonts w:ascii="Century Gothic" w:hAnsi="Century Gothic"/>
          <w:i/>
          <w:sz w:val="22"/>
          <w:szCs w:val="22"/>
        </w:rPr>
      </w:pPr>
      <w:r>
        <w:rPr>
          <w:lang w:eastAsia="es-CO"/>
        </w:rPr>
        <w:drawing>
          <wp:anchor distT="0" distB="0" distL="114300" distR="114300" simplePos="0" relativeHeight="251670528" behindDoc="1" locked="0" layoutInCell="1" allowOverlap="1">
            <wp:simplePos x="0" y="0"/>
            <wp:positionH relativeFrom="column">
              <wp:posOffset>-82550</wp:posOffset>
            </wp:positionH>
            <wp:positionV relativeFrom="paragraph">
              <wp:posOffset>130175</wp:posOffset>
            </wp:positionV>
            <wp:extent cx="5866130" cy="5807075"/>
            <wp:effectExtent l="0" t="0" r="1905" b="381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a:picLocks noChangeAspect="1"/>
                    </pic:cNvPicPr>
                  </pic:nvPicPr>
                  <pic:blipFill>
                    <a:blip r:embed="rId12" cstate="print">
                      <a:extLst>
                        <a:ext uri="{28A0092B-C50C-407E-A947-70E740481C1C}">
                          <a14:useLocalDpi xmlns:a14="http://schemas.microsoft.com/office/drawing/2010/main" val="0"/>
                        </a:ext>
                      </a:extLst>
                    </a:blip>
                    <a:srcRect l="20527" t="16492" r="43658" b="4459"/>
                    <a:stretch>
                      <a:fillRect/>
                    </a:stretch>
                  </pic:blipFill>
                  <pic:spPr>
                    <a:xfrm>
                      <a:off x="0" y="0"/>
                      <a:ext cx="5868477" cy="5809435"/>
                    </a:xfrm>
                    <a:prstGeom prst="rect">
                      <a:avLst/>
                    </a:prstGeom>
                    <a:ln>
                      <a:noFill/>
                    </a:ln>
                  </pic:spPr>
                </pic:pic>
              </a:graphicData>
            </a:graphic>
          </wp:anchor>
        </w:drawing>
      </w:r>
    </w:p>
    <w:p w14:paraId="7D9AD5F6">
      <w:pPr>
        <w:rPr>
          <w:rFonts w:ascii="Century Gothic" w:hAnsi="Century Gothic"/>
          <w:sz w:val="22"/>
          <w:szCs w:val="22"/>
        </w:rPr>
      </w:pPr>
    </w:p>
    <w:p w14:paraId="183EBA45">
      <w:pPr>
        <w:rPr>
          <w:rFonts w:ascii="Century Gothic" w:hAnsi="Century Gothic"/>
          <w:sz w:val="22"/>
          <w:szCs w:val="22"/>
        </w:rPr>
      </w:pPr>
    </w:p>
    <w:p w14:paraId="397CA562">
      <w:pPr>
        <w:rPr>
          <w:rFonts w:ascii="Century Gothic" w:hAnsi="Century Gothic"/>
          <w:sz w:val="22"/>
          <w:szCs w:val="22"/>
        </w:rPr>
      </w:pPr>
    </w:p>
    <w:p w14:paraId="7DE182E7">
      <w:pPr>
        <w:rPr>
          <w:rFonts w:ascii="Century Gothic" w:hAnsi="Century Gothic"/>
          <w:sz w:val="22"/>
          <w:szCs w:val="22"/>
        </w:rPr>
      </w:pPr>
    </w:p>
    <w:p w14:paraId="4F67E41C">
      <w:pPr>
        <w:rPr>
          <w:rFonts w:ascii="Century Gothic" w:hAnsi="Century Gothic"/>
          <w:sz w:val="22"/>
          <w:szCs w:val="22"/>
        </w:rPr>
      </w:pPr>
    </w:p>
    <w:p w14:paraId="5FA6DA51">
      <w:pPr>
        <w:rPr>
          <w:rFonts w:ascii="Century Gothic" w:hAnsi="Century Gothic"/>
          <w:sz w:val="22"/>
          <w:szCs w:val="22"/>
        </w:rPr>
      </w:pPr>
    </w:p>
    <w:p w14:paraId="1F122E98">
      <w:pPr>
        <w:rPr>
          <w:rFonts w:ascii="Century Gothic" w:hAnsi="Century Gothic"/>
          <w:sz w:val="22"/>
          <w:szCs w:val="22"/>
        </w:rPr>
      </w:pPr>
    </w:p>
    <w:p w14:paraId="1792368B">
      <w:pPr>
        <w:rPr>
          <w:rFonts w:ascii="Century Gothic" w:hAnsi="Century Gothic"/>
          <w:sz w:val="22"/>
          <w:szCs w:val="22"/>
        </w:rPr>
      </w:pPr>
    </w:p>
    <w:p w14:paraId="5F43243F">
      <w:pPr>
        <w:rPr>
          <w:rFonts w:ascii="Century Gothic" w:hAnsi="Century Gothic"/>
          <w:sz w:val="22"/>
          <w:szCs w:val="22"/>
        </w:rPr>
      </w:pPr>
    </w:p>
    <w:p w14:paraId="2469389E">
      <w:pPr>
        <w:rPr>
          <w:rFonts w:ascii="Century Gothic" w:hAnsi="Century Gothic"/>
          <w:sz w:val="22"/>
          <w:szCs w:val="22"/>
        </w:rPr>
      </w:pPr>
    </w:p>
    <w:p w14:paraId="6148DFA5">
      <w:pPr>
        <w:rPr>
          <w:rFonts w:ascii="Century Gothic" w:hAnsi="Century Gothic"/>
          <w:sz w:val="22"/>
          <w:szCs w:val="22"/>
        </w:rPr>
      </w:pPr>
    </w:p>
    <w:p w14:paraId="478D4F40">
      <w:pPr>
        <w:rPr>
          <w:rFonts w:ascii="Century Gothic" w:hAnsi="Century Gothic"/>
          <w:sz w:val="22"/>
          <w:szCs w:val="22"/>
        </w:rPr>
      </w:pPr>
    </w:p>
    <w:p w14:paraId="13262584">
      <w:pPr>
        <w:rPr>
          <w:rFonts w:ascii="Century Gothic" w:hAnsi="Century Gothic"/>
          <w:sz w:val="22"/>
          <w:szCs w:val="22"/>
        </w:rPr>
      </w:pPr>
    </w:p>
    <w:p w14:paraId="3979F592">
      <w:pPr>
        <w:rPr>
          <w:rFonts w:ascii="Century Gothic" w:hAnsi="Century Gothic"/>
          <w:sz w:val="22"/>
          <w:szCs w:val="22"/>
        </w:rPr>
      </w:pPr>
    </w:p>
    <w:p w14:paraId="7788601D">
      <w:pPr>
        <w:rPr>
          <w:rFonts w:ascii="Century Gothic" w:hAnsi="Century Gothic"/>
          <w:sz w:val="22"/>
          <w:szCs w:val="22"/>
        </w:rPr>
      </w:pPr>
    </w:p>
    <w:p w14:paraId="45DC409B">
      <w:pPr>
        <w:rPr>
          <w:rFonts w:ascii="Century Gothic" w:hAnsi="Century Gothic"/>
          <w:sz w:val="22"/>
          <w:szCs w:val="22"/>
        </w:rPr>
      </w:pPr>
    </w:p>
    <w:p w14:paraId="2DA74EC1">
      <w:pPr>
        <w:rPr>
          <w:rFonts w:ascii="Century Gothic" w:hAnsi="Century Gothic"/>
          <w:sz w:val="22"/>
          <w:szCs w:val="22"/>
        </w:rPr>
      </w:pPr>
    </w:p>
    <w:p w14:paraId="068510CB">
      <w:pPr>
        <w:rPr>
          <w:rFonts w:ascii="Century Gothic" w:hAnsi="Century Gothic"/>
          <w:sz w:val="22"/>
          <w:szCs w:val="22"/>
        </w:rPr>
      </w:pPr>
    </w:p>
    <w:p w14:paraId="39E1E495">
      <w:pPr>
        <w:rPr>
          <w:rFonts w:ascii="Century Gothic" w:hAnsi="Century Gothic"/>
          <w:sz w:val="22"/>
          <w:szCs w:val="22"/>
        </w:rPr>
      </w:pPr>
    </w:p>
    <w:p w14:paraId="2A0B01BF">
      <w:pPr>
        <w:rPr>
          <w:rFonts w:ascii="Century Gothic" w:hAnsi="Century Gothic"/>
          <w:sz w:val="22"/>
          <w:szCs w:val="22"/>
        </w:rPr>
      </w:pPr>
    </w:p>
    <w:p w14:paraId="034EB928">
      <w:pPr>
        <w:rPr>
          <w:rFonts w:ascii="Century Gothic" w:hAnsi="Century Gothic"/>
          <w:sz w:val="22"/>
          <w:szCs w:val="22"/>
        </w:rPr>
      </w:pPr>
    </w:p>
    <w:p w14:paraId="7E21F2EB">
      <w:pPr>
        <w:rPr>
          <w:rFonts w:ascii="Century Gothic" w:hAnsi="Century Gothic"/>
          <w:sz w:val="22"/>
          <w:szCs w:val="22"/>
        </w:rPr>
      </w:pPr>
    </w:p>
    <w:p w14:paraId="777114D6">
      <w:pPr>
        <w:rPr>
          <w:rFonts w:ascii="Century Gothic" w:hAnsi="Century Gothic"/>
          <w:sz w:val="22"/>
          <w:szCs w:val="22"/>
        </w:rPr>
      </w:pPr>
    </w:p>
    <w:p w14:paraId="48394310">
      <w:pPr>
        <w:rPr>
          <w:rFonts w:ascii="Century Gothic" w:hAnsi="Century Gothic"/>
          <w:sz w:val="22"/>
          <w:szCs w:val="22"/>
        </w:rPr>
      </w:pPr>
    </w:p>
    <w:p w14:paraId="57CE9740">
      <w:pPr>
        <w:rPr>
          <w:rFonts w:ascii="Century Gothic" w:hAnsi="Century Gothic"/>
          <w:sz w:val="22"/>
          <w:szCs w:val="22"/>
        </w:rPr>
      </w:pPr>
    </w:p>
    <w:p w14:paraId="2B8D554F">
      <w:pPr>
        <w:rPr>
          <w:rFonts w:ascii="Century Gothic" w:hAnsi="Century Gothic"/>
          <w:sz w:val="22"/>
          <w:szCs w:val="22"/>
        </w:rPr>
      </w:pPr>
    </w:p>
    <w:p w14:paraId="680E701E">
      <w:pPr>
        <w:rPr>
          <w:rFonts w:ascii="Century Gothic" w:hAnsi="Century Gothic"/>
          <w:sz w:val="22"/>
          <w:szCs w:val="22"/>
        </w:rPr>
      </w:pPr>
    </w:p>
    <w:p w14:paraId="0CF0267D">
      <w:pPr>
        <w:rPr>
          <w:rFonts w:ascii="Century Gothic" w:hAnsi="Century Gothic"/>
          <w:sz w:val="22"/>
          <w:szCs w:val="22"/>
        </w:rPr>
      </w:pPr>
    </w:p>
    <w:p w14:paraId="740138FD">
      <w:pPr>
        <w:rPr>
          <w:rFonts w:ascii="Century Gothic" w:hAnsi="Century Gothic"/>
          <w:sz w:val="22"/>
          <w:szCs w:val="22"/>
        </w:rPr>
      </w:pPr>
    </w:p>
    <w:p w14:paraId="6DF428DC">
      <w:pPr>
        <w:rPr>
          <w:rFonts w:ascii="Century Gothic" w:hAnsi="Century Gothic"/>
          <w:sz w:val="22"/>
          <w:szCs w:val="22"/>
        </w:rPr>
      </w:pPr>
    </w:p>
    <w:p w14:paraId="4AD06FF0">
      <w:pPr>
        <w:rPr>
          <w:rFonts w:ascii="Century Gothic" w:hAnsi="Century Gothic"/>
          <w:sz w:val="22"/>
          <w:szCs w:val="22"/>
        </w:rPr>
      </w:pPr>
    </w:p>
    <w:p w14:paraId="3963394F">
      <w:pPr>
        <w:rPr>
          <w:rFonts w:ascii="Century Gothic" w:hAnsi="Century Gothic"/>
          <w:sz w:val="22"/>
          <w:szCs w:val="22"/>
        </w:rPr>
      </w:pPr>
    </w:p>
    <w:p w14:paraId="64927635">
      <w:pPr>
        <w:rPr>
          <w:rFonts w:ascii="Century Gothic" w:hAnsi="Century Gothic"/>
          <w:sz w:val="22"/>
          <w:szCs w:val="22"/>
        </w:rPr>
      </w:pPr>
      <w:r>
        <w:rPr>
          <w:lang w:eastAsia="es-CO"/>
        </w:rPr>
        <w:drawing>
          <wp:anchor distT="0" distB="0" distL="114300" distR="114300" simplePos="0" relativeHeight="251671552" behindDoc="1" locked="0" layoutInCell="1" allowOverlap="1">
            <wp:simplePos x="0" y="0"/>
            <wp:positionH relativeFrom="column">
              <wp:posOffset>-140970</wp:posOffset>
            </wp:positionH>
            <wp:positionV relativeFrom="paragraph">
              <wp:posOffset>-91440</wp:posOffset>
            </wp:positionV>
            <wp:extent cx="6055995" cy="7312660"/>
            <wp:effectExtent l="0" t="0" r="1905" b="254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a:picLocks noChangeAspect="1"/>
                    </pic:cNvPicPr>
                  </pic:nvPicPr>
                  <pic:blipFill>
                    <a:blip r:embed="rId13" cstate="print">
                      <a:extLst>
                        <a:ext uri="{28A0092B-C50C-407E-A947-70E740481C1C}">
                          <a14:useLocalDpi xmlns:a14="http://schemas.microsoft.com/office/drawing/2010/main" val="0"/>
                        </a:ext>
                      </a:extLst>
                    </a:blip>
                    <a:srcRect l="20103" t="15365" r="43503" b="4053"/>
                    <a:stretch>
                      <a:fillRect/>
                    </a:stretch>
                  </pic:blipFill>
                  <pic:spPr>
                    <a:xfrm>
                      <a:off x="0" y="0"/>
                      <a:ext cx="6056019" cy="7312749"/>
                    </a:xfrm>
                    <a:prstGeom prst="rect">
                      <a:avLst/>
                    </a:prstGeom>
                    <a:ln>
                      <a:noFill/>
                    </a:ln>
                  </pic:spPr>
                </pic:pic>
              </a:graphicData>
            </a:graphic>
          </wp:anchor>
        </w:drawing>
      </w:r>
    </w:p>
    <w:p w14:paraId="2A6F68CC">
      <w:pPr>
        <w:rPr>
          <w:rFonts w:ascii="Century Gothic" w:hAnsi="Century Gothic"/>
          <w:sz w:val="22"/>
          <w:szCs w:val="22"/>
        </w:rPr>
      </w:pPr>
    </w:p>
    <w:p w14:paraId="0F142125">
      <w:pPr>
        <w:rPr>
          <w:rFonts w:ascii="Century Gothic" w:hAnsi="Century Gothic"/>
          <w:sz w:val="22"/>
          <w:szCs w:val="22"/>
        </w:rPr>
      </w:pPr>
    </w:p>
    <w:p w14:paraId="1248436A">
      <w:pPr>
        <w:rPr>
          <w:rFonts w:ascii="Century Gothic" w:hAnsi="Century Gothic"/>
          <w:sz w:val="22"/>
          <w:szCs w:val="22"/>
        </w:rPr>
      </w:pPr>
    </w:p>
    <w:p w14:paraId="794EEB1B">
      <w:pPr>
        <w:rPr>
          <w:rFonts w:ascii="Century Gothic" w:hAnsi="Century Gothic"/>
          <w:sz w:val="22"/>
          <w:szCs w:val="22"/>
        </w:rPr>
      </w:pPr>
    </w:p>
    <w:p w14:paraId="639E7473">
      <w:pPr>
        <w:rPr>
          <w:rFonts w:ascii="Century Gothic" w:hAnsi="Century Gothic"/>
          <w:sz w:val="22"/>
          <w:szCs w:val="22"/>
        </w:rPr>
      </w:pPr>
    </w:p>
    <w:p w14:paraId="50E6538A">
      <w:pPr>
        <w:rPr>
          <w:rFonts w:ascii="Century Gothic" w:hAnsi="Century Gothic"/>
          <w:sz w:val="22"/>
          <w:szCs w:val="22"/>
        </w:rPr>
      </w:pPr>
    </w:p>
    <w:p w14:paraId="2F1FC753">
      <w:pPr>
        <w:rPr>
          <w:rFonts w:ascii="Century Gothic" w:hAnsi="Century Gothic"/>
          <w:sz w:val="22"/>
          <w:szCs w:val="22"/>
        </w:rPr>
      </w:pPr>
    </w:p>
    <w:p w14:paraId="712E8E18">
      <w:pPr>
        <w:rPr>
          <w:rFonts w:ascii="Century Gothic" w:hAnsi="Century Gothic"/>
          <w:sz w:val="22"/>
          <w:szCs w:val="22"/>
        </w:rPr>
      </w:pPr>
    </w:p>
    <w:p w14:paraId="220E31D8">
      <w:pPr>
        <w:rPr>
          <w:rFonts w:ascii="Century Gothic" w:hAnsi="Century Gothic"/>
          <w:sz w:val="22"/>
          <w:szCs w:val="22"/>
        </w:rPr>
      </w:pPr>
    </w:p>
    <w:p w14:paraId="159B0084">
      <w:pPr>
        <w:rPr>
          <w:rFonts w:ascii="Century Gothic" w:hAnsi="Century Gothic"/>
          <w:sz w:val="22"/>
          <w:szCs w:val="22"/>
        </w:rPr>
      </w:pPr>
    </w:p>
    <w:p w14:paraId="766F81A5">
      <w:pPr>
        <w:rPr>
          <w:rFonts w:ascii="Century Gothic" w:hAnsi="Century Gothic"/>
          <w:sz w:val="22"/>
          <w:szCs w:val="22"/>
        </w:rPr>
      </w:pPr>
    </w:p>
    <w:p w14:paraId="2ECD91E6">
      <w:pPr>
        <w:rPr>
          <w:rFonts w:ascii="Century Gothic" w:hAnsi="Century Gothic"/>
          <w:sz w:val="22"/>
          <w:szCs w:val="22"/>
        </w:rPr>
      </w:pPr>
    </w:p>
    <w:p w14:paraId="1F63013E">
      <w:pPr>
        <w:rPr>
          <w:rFonts w:ascii="Century Gothic" w:hAnsi="Century Gothic"/>
          <w:sz w:val="22"/>
          <w:szCs w:val="22"/>
        </w:rPr>
      </w:pPr>
    </w:p>
    <w:p w14:paraId="34337573">
      <w:pPr>
        <w:rPr>
          <w:rFonts w:ascii="Century Gothic" w:hAnsi="Century Gothic"/>
          <w:sz w:val="22"/>
          <w:szCs w:val="22"/>
        </w:rPr>
      </w:pPr>
    </w:p>
    <w:p w14:paraId="352D9305">
      <w:pPr>
        <w:rPr>
          <w:rFonts w:ascii="Century Gothic" w:hAnsi="Century Gothic"/>
          <w:sz w:val="22"/>
          <w:szCs w:val="22"/>
        </w:rPr>
      </w:pPr>
    </w:p>
    <w:p w14:paraId="306E0347">
      <w:pPr>
        <w:rPr>
          <w:rFonts w:ascii="Century Gothic" w:hAnsi="Century Gothic"/>
          <w:sz w:val="22"/>
          <w:szCs w:val="22"/>
        </w:rPr>
      </w:pPr>
    </w:p>
    <w:p w14:paraId="07809A2E">
      <w:pPr>
        <w:rPr>
          <w:rFonts w:ascii="Century Gothic" w:hAnsi="Century Gothic"/>
          <w:sz w:val="22"/>
          <w:szCs w:val="22"/>
        </w:rPr>
      </w:pPr>
    </w:p>
    <w:p w14:paraId="6BA792F3">
      <w:pPr>
        <w:rPr>
          <w:rFonts w:ascii="Century Gothic" w:hAnsi="Century Gothic"/>
          <w:sz w:val="22"/>
          <w:szCs w:val="22"/>
        </w:rPr>
      </w:pPr>
    </w:p>
    <w:p w14:paraId="16BD75FB">
      <w:pPr>
        <w:rPr>
          <w:rFonts w:ascii="Century Gothic" w:hAnsi="Century Gothic"/>
          <w:sz w:val="22"/>
          <w:szCs w:val="22"/>
        </w:rPr>
      </w:pPr>
    </w:p>
    <w:p w14:paraId="7D63E1D7">
      <w:pPr>
        <w:rPr>
          <w:rFonts w:ascii="Century Gothic" w:hAnsi="Century Gothic"/>
          <w:sz w:val="22"/>
          <w:szCs w:val="22"/>
        </w:rPr>
      </w:pPr>
    </w:p>
    <w:p w14:paraId="7BDBF621">
      <w:pPr>
        <w:rPr>
          <w:rFonts w:ascii="Century Gothic" w:hAnsi="Century Gothic"/>
          <w:sz w:val="22"/>
          <w:szCs w:val="22"/>
        </w:rPr>
      </w:pPr>
    </w:p>
    <w:p w14:paraId="407E4819">
      <w:pPr>
        <w:rPr>
          <w:rFonts w:ascii="Century Gothic" w:hAnsi="Century Gothic"/>
          <w:sz w:val="22"/>
          <w:szCs w:val="22"/>
        </w:rPr>
      </w:pPr>
    </w:p>
    <w:p w14:paraId="47A0C784">
      <w:pPr>
        <w:rPr>
          <w:rFonts w:ascii="Century Gothic" w:hAnsi="Century Gothic"/>
          <w:sz w:val="22"/>
          <w:szCs w:val="22"/>
        </w:rPr>
      </w:pPr>
    </w:p>
    <w:p w14:paraId="7E12E406">
      <w:pPr>
        <w:rPr>
          <w:rFonts w:ascii="Century Gothic" w:hAnsi="Century Gothic"/>
          <w:sz w:val="22"/>
          <w:szCs w:val="22"/>
        </w:rPr>
      </w:pPr>
    </w:p>
    <w:p w14:paraId="35C2A88D">
      <w:pPr>
        <w:rPr>
          <w:rFonts w:ascii="Century Gothic" w:hAnsi="Century Gothic"/>
          <w:sz w:val="22"/>
          <w:szCs w:val="22"/>
        </w:rPr>
      </w:pPr>
    </w:p>
    <w:p w14:paraId="07C8F222">
      <w:pPr>
        <w:rPr>
          <w:rFonts w:ascii="Century Gothic" w:hAnsi="Century Gothic"/>
          <w:sz w:val="22"/>
          <w:szCs w:val="22"/>
        </w:rPr>
      </w:pPr>
    </w:p>
    <w:p w14:paraId="42FDABB6">
      <w:pPr>
        <w:rPr>
          <w:rFonts w:ascii="Century Gothic" w:hAnsi="Century Gothic"/>
          <w:sz w:val="22"/>
          <w:szCs w:val="22"/>
        </w:rPr>
      </w:pPr>
    </w:p>
    <w:p w14:paraId="18B14926">
      <w:pPr>
        <w:rPr>
          <w:rFonts w:ascii="Century Gothic" w:hAnsi="Century Gothic"/>
          <w:sz w:val="22"/>
          <w:szCs w:val="22"/>
        </w:rPr>
      </w:pPr>
    </w:p>
    <w:p w14:paraId="644FFD16">
      <w:pPr>
        <w:rPr>
          <w:rFonts w:ascii="Century Gothic" w:hAnsi="Century Gothic"/>
          <w:sz w:val="22"/>
          <w:szCs w:val="22"/>
        </w:rPr>
      </w:pPr>
    </w:p>
    <w:p w14:paraId="6BAD1D5D">
      <w:pPr>
        <w:rPr>
          <w:rFonts w:ascii="Century Gothic" w:hAnsi="Century Gothic"/>
          <w:sz w:val="22"/>
          <w:szCs w:val="22"/>
        </w:rPr>
      </w:pPr>
    </w:p>
    <w:p w14:paraId="6B4C79F6">
      <w:pPr>
        <w:rPr>
          <w:rFonts w:ascii="Century Gothic" w:hAnsi="Century Gothic"/>
          <w:sz w:val="22"/>
          <w:szCs w:val="22"/>
        </w:rPr>
      </w:pPr>
    </w:p>
    <w:p w14:paraId="6FEFB1E6">
      <w:pPr>
        <w:rPr>
          <w:rFonts w:ascii="Century Gothic" w:hAnsi="Century Gothic"/>
          <w:sz w:val="22"/>
          <w:szCs w:val="22"/>
        </w:rPr>
      </w:pPr>
    </w:p>
    <w:p w14:paraId="5988B52C">
      <w:pPr>
        <w:rPr>
          <w:rFonts w:ascii="Century Gothic" w:hAnsi="Century Gothic"/>
          <w:sz w:val="22"/>
          <w:szCs w:val="22"/>
        </w:rPr>
      </w:pPr>
    </w:p>
    <w:p w14:paraId="6C9B331F">
      <w:pPr>
        <w:rPr>
          <w:rFonts w:ascii="Century Gothic" w:hAnsi="Century Gothic"/>
          <w:sz w:val="22"/>
          <w:szCs w:val="22"/>
        </w:rPr>
      </w:pPr>
    </w:p>
    <w:p w14:paraId="190519CF">
      <w:pPr>
        <w:rPr>
          <w:rFonts w:ascii="Century Gothic" w:hAnsi="Century Gothic"/>
          <w:sz w:val="22"/>
          <w:szCs w:val="22"/>
        </w:rPr>
      </w:pPr>
    </w:p>
    <w:p w14:paraId="73BBE340">
      <w:pPr>
        <w:rPr>
          <w:rFonts w:ascii="Century Gothic" w:hAnsi="Century Gothic"/>
          <w:sz w:val="22"/>
          <w:szCs w:val="22"/>
        </w:rPr>
      </w:pPr>
    </w:p>
    <w:p w14:paraId="0A0A1247">
      <w:pPr>
        <w:rPr>
          <w:rFonts w:ascii="Century Gothic" w:hAnsi="Century Gothic"/>
          <w:sz w:val="22"/>
          <w:szCs w:val="22"/>
        </w:rPr>
      </w:pPr>
    </w:p>
    <w:p w14:paraId="3F6BE35E">
      <w:pPr>
        <w:rPr>
          <w:rFonts w:ascii="Century Gothic" w:hAnsi="Century Gothic"/>
          <w:sz w:val="22"/>
          <w:szCs w:val="22"/>
        </w:rPr>
      </w:pPr>
    </w:p>
    <w:p w14:paraId="28FE621E">
      <w:pPr>
        <w:rPr>
          <w:rFonts w:ascii="Century Gothic" w:hAnsi="Century Gothic"/>
          <w:sz w:val="22"/>
          <w:szCs w:val="22"/>
        </w:rPr>
      </w:pPr>
    </w:p>
    <w:p w14:paraId="4206F1FD">
      <w:pPr>
        <w:rPr>
          <w:rFonts w:ascii="Century Gothic" w:hAnsi="Century Gothic"/>
          <w:sz w:val="22"/>
          <w:szCs w:val="22"/>
        </w:rPr>
      </w:pPr>
    </w:p>
    <w:p w14:paraId="2D4DCC13">
      <w:pPr>
        <w:rPr>
          <w:rFonts w:ascii="Century Gothic" w:hAnsi="Century Gothic"/>
          <w:sz w:val="22"/>
          <w:szCs w:val="22"/>
        </w:rPr>
      </w:pPr>
    </w:p>
    <w:p w14:paraId="16CEB9DC">
      <w:pPr>
        <w:rPr>
          <w:rFonts w:ascii="Century Gothic" w:hAnsi="Century Gothic"/>
          <w:b/>
          <w:sz w:val="22"/>
          <w:szCs w:val="22"/>
        </w:rPr>
      </w:pPr>
      <w:r>
        <w:rPr>
          <w:rFonts w:ascii="Century Gothic" w:hAnsi="Century Gothic"/>
          <w:b/>
          <w:sz w:val="22"/>
          <w:szCs w:val="22"/>
        </w:rPr>
        <w:t>Vinculación y/o actualización  persona Jurídica</w:t>
      </w:r>
    </w:p>
    <w:p w14:paraId="30E73549">
      <w:pPr>
        <w:rPr>
          <w:rFonts w:ascii="Century Gothic" w:hAnsi="Century Gothic"/>
          <w:sz w:val="22"/>
          <w:szCs w:val="22"/>
        </w:rPr>
      </w:pPr>
      <w:r>
        <w:rPr>
          <w:lang w:eastAsia="es-CO"/>
        </w:rPr>
        <w:drawing>
          <wp:anchor distT="0" distB="0" distL="114300" distR="114300" simplePos="0" relativeHeight="251672576" behindDoc="1" locked="0" layoutInCell="1" allowOverlap="1">
            <wp:simplePos x="0" y="0"/>
            <wp:positionH relativeFrom="column">
              <wp:posOffset>-141605</wp:posOffset>
            </wp:positionH>
            <wp:positionV relativeFrom="paragraph">
              <wp:posOffset>164465</wp:posOffset>
            </wp:positionV>
            <wp:extent cx="6174740" cy="7172960"/>
            <wp:effectExtent l="0" t="0" r="0" b="952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pic:cNvPicPr>
                      <a:picLocks noChangeAspect="1"/>
                    </pic:cNvPicPr>
                  </pic:nvPicPr>
                  <pic:blipFill>
                    <a:blip r:embed="rId14">
                      <a:extLst>
                        <a:ext uri="{28A0092B-C50C-407E-A947-70E740481C1C}">
                          <a14:useLocalDpi xmlns:a14="http://schemas.microsoft.com/office/drawing/2010/main" val="0"/>
                        </a:ext>
                      </a:extLst>
                    </a:blip>
                    <a:srcRect l="20316" t="17242" r="43714" b="4035"/>
                    <a:stretch>
                      <a:fillRect/>
                    </a:stretch>
                  </pic:blipFill>
                  <pic:spPr>
                    <a:xfrm>
                      <a:off x="0" y="0"/>
                      <a:ext cx="6188234" cy="7188371"/>
                    </a:xfrm>
                    <a:prstGeom prst="rect">
                      <a:avLst/>
                    </a:prstGeom>
                    <a:ln>
                      <a:noFill/>
                    </a:ln>
                  </pic:spPr>
                </pic:pic>
              </a:graphicData>
            </a:graphic>
          </wp:anchor>
        </w:drawing>
      </w:r>
    </w:p>
    <w:p w14:paraId="30F408F6">
      <w:pPr>
        <w:rPr>
          <w:rFonts w:ascii="Century Gothic" w:hAnsi="Century Gothic"/>
          <w:sz w:val="22"/>
          <w:szCs w:val="22"/>
        </w:rPr>
      </w:pPr>
    </w:p>
    <w:p w14:paraId="1D089E3C">
      <w:pPr>
        <w:rPr>
          <w:rFonts w:ascii="Century Gothic" w:hAnsi="Century Gothic"/>
          <w:sz w:val="22"/>
          <w:szCs w:val="22"/>
        </w:rPr>
      </w:pPr>
    </w:p>
    <w:p w14:paraId="6EAB279B">
      <w:pPr>
        <w:rPr>
          <w:rFonts w:ascii="Century Gothic" w:hAnsi="Century Gothic"/>
          <w:sz w:val="22"/>
          <w:szCs w:val="22"/>
        </w:rPr>
      </w:pPr>
    </w:p>
    <w:p w14:paraId="371B4DE9">
      <w:pPr>
        <w:rPr>
          <w:rFonts w:ascii="Century Gothic" w:hAnsi="Century Gothic"/>
          <w:sz w:val="22"/>
          <w:szCs w:val="22"/>
        </w:rPr>
      </w:pPr>
    </w:p>
    <w:p w14:paraId="2D88AD00">
      <w:pPr>
        <w:rPr>
          <w:rFonts w:ascii="Century Gothic" w:hAnsi="Century Gothic"/>
          <w:sz w:val="22"/>
          <w:szCs w:val="22"/>
        </w:rPr>
      </w:pPr>
    </w:p>
    <w:p w14:paraId="1A57B861">
      <w:pPr>
        <w:rPr>
          <w:rFonts w:ascii="Century Gothic" w:hAnsi="Century Gothic"/>
          <w:sz w:val="22"/>
          <w:szCs w:val="22"/>
        </w:rPr>
      </w:pPr>
    </w:p>
    <w:p w14:paraId="32490EDF">
      <w:pPr>
        <w:rPr>
          <w:rFonts w:ascii="Century Gothic" w:hAnsi="Century Gothic"/>
          <w:sz w:val="22"/>
          <w:szCs w:val="22"/>
        </w:rPr>
      </w:pPr>
    </w:p>
    <w:p w14:paraId="6F61AC2B">
      <w:pPr>
        <w:rPr>
          <w:rFonts w:ascii="Century Gothic" w:hAnsi="Century Gothic"/>
          <w:sz w:val="22"/>
          <w:szCs w:val="22"/>
        </w:rPr>
      </w:pPr>
    </w:p>
    <w:p w14:paraId="1116DF4A">
      <w:pPr>
        <w:rPr>
          <w:rFonts w:ascii="Century Gothic" w:hAnsi="Century Gothic"/>
          <w:sz w:val="22"/>
          <w:szCs w:val="22"/>
        </w:rPr>
      </w:pPr>
    </w:p>
    <w:p w14:paraId="3580E27D">
      <w:pPr>
        <w:rPr>
          <w:rFonts w:ascii="Century Gothic" w:hAnsi="Century Gothic"/>
          <w:sz w:val="22"/>
          <w:szCs w:val="22"/>
        </w:rPr>
      </w:pPr>
    </w:p>
    <w:p w14:paraId="2C7DAFA0">
      <w:pPr>
        <w:rPr>
          <w:rFonts w:ascii="Century Gothic" w:hAnsi="Century Gothic"/>
          <w:sz w:val="22"/>
          <w:szCs w:val="22"/>
        </w:rPr>
      </w:pPr>
    </w:p>
    <w:p w14:paraId="6CC75B46">
      <w:pPr>
        <w:rPr>
          <w:rFonts w:ascii="Century Gothic" w:hAnsi="Century Gothic"/>
          <w:sz w:val="22"/>
          <w:szCs w:val="22"/>
        </w:rPr>
      </w:pPr>
    </w:p>
    <w:p w14:paraId="37057794">
      <w:pPr>
        <w:rPr>
          <w:rFonts w:ascii="Century Gothic" w:hAnsi="Century Gothic"/>
          <w:sz w:val="22"/>
          <w:szCs w:val="22"/>
        </w:rPr>
      </w:pPr>
    </w:p>
    <w:p w14:paraId="67C93903">
      <w:pPr>
        <w:rPr>
          <w:rFonts w:ascii="Century Gothic" w:hAnsi="Century Gothic"/>
          <w:sz w:val="22"/>
          <w:szCs w:val="22"/>
        </w:rPr>
      </w:pPr>
    </w:p>
    <w:p w14:paraId="2D9D1689">
      <w:pPr>
        <w:rPr>
          <w:rFonts w:ascii="Century Gothic" w:hAnsi="Century Gothic"/>
          <w:sz w:val="22"/>
          <w:szCs w:val="22"/>
        </w:rPr>
      </w:pPr>
    </w:p>
    <w:p w14:paraId="7E765591">
      <w:pPr>
        <w:rPr>
          <w:rFonts w:ascii="Century Gothic" w:hAnsi="Century Gothic"/>
          <w:sz w:val="22"/>
          <w:szCs w:val="22"/>
        </w:rPr>
      </w:pPr>
    </w:p>
    <w:p w14:paraId="1CBD86AD">
      <w:pPr>
        <w:rPr>
          <w:rFonts w:ascii="Century Gothic" w:hAnsi="Century Gothic"/>
          <w:sz w:val="22"/>
          <w:szCs w:val="22"/>
        </w:rPr>
      </w:pPr>
    </w:p>
    <w:p w14:paraId="2DE45D03">
      <w:pPr>
        <w:rPr>
          <w:rFonts w:ascii="Century Gothic" w:hAnsi="Century Gothic"/>
          <w:sz w:val="22"/>
          <w:szCs w:val="22"/>
        </w:rPr>
      </w:pPr>
    </w:p>
    <w:p w14:paraId="2CD0FE7A">
      <w:pPr>
        <w:rPr>
          <w:rFonts w:ascii="Century Gothic" w:hAnsi="Century Gothic"/>
          <w:sz w:val="22"/>
          <w:szCs w:val="22"/>
        </w:rPr>
      </w:pPr>
    </w:p>
    <w:p w14:paraId="68BF659C">
      <w:pPr>
        <w:rPr>
          <w:rFonts w:ascii="Century Gothic" w:hAnsi="Century Gothic"/>
          <w:sz w:val="22"/>
          <w:szCs w:val="22"/>
        </w:rPr>
      </w:pPr>
    </w:p>
    <w:p w14:paraId="11AA02F7">
      <w:pPr>
        <w:rPr>
          <w:rFonts w:ascii="Century Gothic" w:hAnsi="Century Gothic"/>
          <w:sz w:val="22"/>
          <w:szCs w:val="22"/>
        </w:rPr>
      </w:pPr>
    </w:p>
    <w:p w14:paraId="424089C8">
      <w:pPr>
        <w:rPr>
          <w:rFonts w:ascii="Century Gothic" w:hAnsi="Century Gothic"/>
          <w:sz w:val="22"/>
          <w:szCs w:val="22"/>
        </w:rPr>
      </w:pPr>
    </w:p>
    <w:p w14:paraId="40F2A582">
      <w:pPr>
        <w:rPr>
          <w:rFonts w:ascii="Century Gothic" w:hAnsi="Century Gothic"/>
          <w:sz w:val="22"/>
          <w:szCs w:val="22"/>
        </w:rPr>
      </w:pPr>
    </w:p>
    <w:p w14:paraId="37C43CA0">
      <w:pPr>
        <w:rPr>
          <w:rFonts w:ascii="Century Gothic" w:hAnsi="Century Gothic"/>
          <w:sz w:val="22"/>
          <w:szCs w:val="22"/>
        </w:rPr>
      </w:pPr>
    </w:p>
    <w:p w14:paraId="7E569C24">
      <w:pPr>
        <w:rPr>
          <w:rFonts w:ascii="Century Gothic" w:hAnsi="Century Gothic"/>
          <w:sz w:val="22"/>
          <w:szCs w:val="22"/>
        </w:rPr>
      </w:pPr>
    </w:p>
    <w:p w14:paraId="5BB0FEFF">
      <w:pPr>
        <w:rPr>
          <w:rFonts w:ascii="Century Gothic" w:hAnsi="Century Gothic"/>
          <w:sz w:val="22"/>
          <w:szCs w:val="22"/>
        </w:rPr>
      </w:pPr>
    </w:p>
    <w:p w14:paraId="30336876">
      <w:pPr>
        <w:rPr>
          <w:rFonts w:ascii="Century Gothic" w:hAnsi="Century Gothic"/>
          <w:sz w:val="22"/>
          <w:szCs w:val="22"/>
        </w:rPr>
      </w:pPr>
    </w:p>
    <w:p w14:paraId="3F3B38F4">
      <w:pPr>
        <w:rPr>
          <w:rFonts w:ascii="Century Gothic" w:hAnsi="Century Gothic"/>
          <w:sz w:val="22"/>
          <w:szCs w:val="22"/>
        </w:rPr>
      </w:pPr>
    </w:p>
    <w:p w14:paraId="5E04CA6C">
      <w:pPr>
        <w:rPr>
          <w:rFonts w:ascii="Century Gothic" w:hAnsi="Century Gothic"/>
          <w:sz w:val="22"/>
          <w:szCs w:val="22"/>
        </w:rPr>
      </w:pPr>
    </w:p>
    <w:p w14:paraId="759F1B60">
      <w:pPr>
        <w:rPr>
          <w:rFonts w:ascii="Century Gothic" w:hAnsi="Century Gothic"/>
          <w:sz w:val="22"/>
          <w:szCs w:val="22"/>
        </w:rPr>
      </w:pPr>
    </w:p>
    <w:p w14:paraId="4552D58D">
      <w:pPr>
        <w:rPr>
          <w:rFonts w:ascii="Century Gothic" w:hAnsi="Century Gothic"/>
          <w:sz w:val="22"/>
          <w:szCs w:val="22"/>
        </w:rPr>
      </w:pPr>
    </w:p>
    <w:p w14:paraId="15D74E34">
      <w:pPr>
        <w:rPr>
          <w:rFonts w:ascii="Century Gothic" w:hAnsi="Century Gothic"/>
          <w:sz w:val="22"/>
          <w:szCs w:val="22"/>
        </w:rPr>
      </w:pPr>
    </w:p>
    <w:p w14:paraId="7FDFDB68">
      <w:pPr>
        <w:rPr>
          <w:rFonts w:ascii="Century Gothic" w:hAnsi="Century Gothic"/>
          <w:sz w:val="22"/>
          <w:szCs w:val="22"/>
        </w:rPr>
      </w:pPr>
    </w:p>
    <w:p w14:paraId="49F11FAA">
      <w:pPr>
        <w:rPr>
          <w:rFonts w:ascii="Century Gothic" w:hAnsi="Century Gothic"/>
          <w:sz w:val="22"/>
          <w:szCs w:val="22"/>
        </w:rPr>
      </w:pPr>
    </w:p>
    <w:p w14:paraId="42589267">
      <w:pPr>
        <w:rPr>
          <w:rFonts w:ascii="Century Gothic" w:hAnsi="Century Gothic"/>
          <w:sz w:val="22"/>
          <w:szCs w:val="22"/>
        </w:rPr>
      </w:pPr>
    </w:p>
    <w:p w14:paraId="5AF5447F">
      <w:pPr>
        <w:rPr>
          <w:rFonts w:ascii="Century Gothic" w:hAnsi="Century Gothic"/>
          <w:sz w:val="22"/>
          <w:szCs w:val="22"/>
        </w:rPr>
      </w:pPr>
    </w:p>
    <w:p w14:paraId="0E519621">
      <w:pPr>
        <w:rPr>
          <w:rFonts w:ascii="Century Gothic" w:hAnsi="Century Gothic"/>
          <w:sz w:val="22"/>
          <w:szCs w:val="22"/>
        </w:rPr>
      </w:pPr>
    </w:p>
    <w:p w14:paraId="6AF9293B">
      <w:pPr>
        <w:rPr>
          <w:rFonts w:ascii="Century Gothic" w:hAnsi="Century Gothic"/>
          <w:sz w:val="22"/>
          <w:szCs w:val="22"/>
        </w:rPr>
      </w:pPr>
    </w:p>
    <w:p w14:paraId="73AFB3F1">
      <w:pPr>
        <w:rPr>
          <w:rFonts w:ascii="Century Gothic" w:hAnsi="Century Gothic"/>
          <w:sz w:val="22"/>
          <w:szCs w:val="22"/>
        </w:rPr>
      </w:pPr>
    </w:p>
    <w:p w14:paraId="369719F7">
      <w:pPr>
        <w:rPr>
          <w:rFonts w:ascii="Century Gothic" w:hAnsi="Century Gothic"/>
          <w:sz w:val="22"/>
          <w:szCs w:val="22"/>
        </w:rPr>
      </w:pPr>
    </w:p>
    <w:p w14:paraId="4EC99021">
      <w:pPr>
        <w:rPr>
          <w:rFonts w:ascii="Century Gothic" w:hAnsi="Century Gothic"/>
          <w:sz w:val="22"/>
          <w:szCs w:val="22"/>
        </w:rPr>
      </w:pPr>
      <w:r>
        <w:rPr>
          <w:lang w:eastAsia="es-CO"/>
        </w:rPr>
        <w:drawing>
          <wp:anchor distT="0" distB="0" distL="114300" distR="114300" simplePos="0" relativeHeight="251673600" behindDoc="1" locked="0" layoutInCell="1" allowOverlap="1">
            <wp:simplePos x="0" y="0"/>
            <wp:positionH relativeFrom="column">
              <wp:posOffset>-106045</wp:posOffset>
            </wp:positionH>
            <wp:positionV relativeFrom="paragraph">
              <wp:posOffset>86360</wp:posOffset>
            </wp:positionV>
            <wp:extent cx="6245860" cy="7018020"/>
            <wp:effectExtent l="0" t="0" r="2540" b="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pic:cNvPicPr>
                      <a:picLocks noChangeAspect="1"/>
                    </pic:cNvPicPr>
                  </pic:nvPicPr>
                  <pic:blipFill>
                    <a:blip r:embed="rId15" cstate="print">
                      <a:extLst>
                        <a:ext uri="{28A0092B-C50C-407E-A947-70E740481C1C}">
                          <a14:useLocalDpi xmlns:a14="http://schemas.microsoft.com/office/drawing/2010/main" val="0"/>
                        </a:ext>
                      </a:extLst>
                    </a:blip>
                    <a:srcRect l="20102" t="15740" r="42656" b="4796"/>
                    <a:stretch>
                      <a:fillRect/>
                    </a:stretch>
                  </pic:blipFill>
                  <pic:spPr>
                    <a:xfrm>
                      <a:off x="0" y="0"/>
                      <a:ext cx="6245860" cy="7018316"/>
                    </a:xfrm>
                    <a:prstGeom prst="rect">
                      <a:avLst/>
                    </a:prstGeom>
                    <a:ln>
                      <a:noFill/>
                    </a:ln>
                  </pic:spPr>
                </pic:pic>
              </a:graphicData>
            </a:graphic>
          </wp:anchor>
        </w:drawing>
      </w:r>
    </w:p>
    <w:p w14:paraId="25AB342E">
      <w:pPr>
        <w:rPr>
          <w:rFonts w:ascii="Century Gothic" w:hAnsi="Century Gothic"/>
          <w:sz w:val="22"/>
          <w:szCs w:val="22"/>
        </w:rPr>
      </w:pPr>
    </w:p>
    <w:p w14:paraId="33FD9BA8">
      <w:pPr>
        <w:rPr>
          <w:rFonts w:ascii="Century Gothic" w:hAnsi="Century Gothic"/>
          <w:sz w:val="22"/>
          <w:szCs w:val="22"/>
        </w:rPr>
      </w:pPr>
    </w:p>
    <w:p w14:paraId="234958CB">
      <w:pPr>
        <w:rPr>
          <w:rFonts w:ascii="Century Gothic" w:hAnsi="Century Gothic"/>
          <w:sz w:val="22"/>
          <w:szCs w:val="22"/>
        </w:rPr>
      </w:pPr>
    </w:p>
    <w:p w14:paraId="4FE038A4">
      <w:pPr>
        <w:rPr>
          <w:rFonts w:ascii="Century Gothic" w:hAnsi="Century Gothic"/>
          <w:sz w:val="22"/>
          <w:szCs w:val="22"/>
        </w:rPr>
      </w:pPr>
    </w:p>
    <w:p w14:paraId="67E9BDB3">
      <w:pPr>
        <w:rPr>
          <w:rFonts w:ascii="Century Gothic" w:hAnsi="Century Gothic"/>
          <w:sz w:val="22"/>
          <w:szCs w:val="22"/>
        </w:rPr>
      </w:pPr>
    </w:p>
    <w:p w14:paraId="0D1F58DE">
      <w:pPr>
        <w:rPr>
          <w:rFonts w:ascii="Century Gothic" w:hAnsi="Century Gothic"/>
          <w:sz w:val="22"/>
          <w:szCs w:val="22"/>
        </w:rPr>
      </w:pPr>
    </w:p>
    <w:p w14:paraId="06A0F227">
      <w:pPr>
        <w:rPr>
          <w:rFonts w:ascii="Century Gothic" w:hAnsi="Century Gothic"/>
          <w:sz w:val="22"/>
          <w:szCs w:val="22"/>
        </w:rPr>
      </w:pPr>
    </w:p>
    <w:p w14:paraId="677669CE">
      <w:pPr>
        <w:rPr>
          <w:rFonts w:ascii="Century Gothic" w:hAnsi="Century Gothic"/>
          <w:sz w:val="22"/>
          <w:szCs w:val="22"/>
        </w:rPr>
      </w:pPr>
    </w:p>
    <w:p w14:paraId="44C5E10C">
      <w:pPr>
        <w:rPr>
          <w:rFonts w:ascii="Century Gothic" w:hAnsi="Century Gothic"/>
          <w:sz w:val="22"/>
          <w:szCs w:val="22"/>
        </w:rPr>
      </w:pPr>
    </w:p>
    <w:p w14:paraId="765761B2">
      <w:pPr>
        <w:rPr>
          <w:rFonts w:ascii="Century Gothic" w:hAnsi="Century Gothic"/>
          <w:sz w:val="22"/>
          <w:szCs w:val="22"/>
        </w:rPr>
      </w:pPr>
    </w:p>
    <w:p w14:paraId="114BEFCA">
      <w:pPr>
        <w:rPr>
          <w:rFonts w:ascii="Century Gothic" w:hAnsi="Century Gothic"/>
          <w:sz w:val="22"/>
          <w:szCs w:val="22"/>
        </w:rPr>
      </w:pPr>
    </w:p>
    <w:p w14:paraId="293AD141">
      <w:pPr>
        <w:rPr>
          <w:rFonts w:ascii="Century Gothic" w:hAnsi="Century Gothic"/>
          <w:sz w:val="22"/>
          <w:szCs w:val="22"/>
        </w:rPr>
      </w:pPr>
    </w:p>
    <w:p w14:paraId="507A7F48">
      <w:pPr>
        <w:rPr>
          <w:rFonts w:ascii="Century Gothic" w:hAnsi="Century Gothic"/>
          <w:sz w:val="22"/>
          <w:szCs w:val="22"/>
        </w:rPr>
      </w:pPr>
    </w:p>
    <w:p w14:paraId="0671D0BD">
      <w:pPr>
        <w:rPr>
          <w:rFonts w:ascii="Century Gothic" w:hAnsi="Century Gothic"/>
          <w:sz w:val="22"/>
          <w:szCs w:val="22"/>
        </w:rPr>
      </w:pPr>
    </w:p>
    <w:p w14:paraId="5761A57F">
      <w:pPr>
        <w:rPr>
          <w:rFonts w:ascii="Century Gothic" w:hAnsi="Century Gothic"/>
          <w:sz w:val="22"/>
          <w:szCs w:val="22"/>
        </w:rPr>
      </w:pPr>
    </w:p>
    <w:p w14:paraId="5816D3E0">
      <w:pPr>
        <w:rPr>
          <w:rFonts w:ascii="Century Gothic" w:hAnsi="Century Gothic"/>
          <w:sz w:val="22"/>
          <w:szCs w:val="22"/>
        </w:rPr>
      </w:pPr>
    </w:p>
    <w:p w14:paraId="7ECB10F0">
      <w:pPr>
        <w:rPr>
          <w:rFonts w:ascii="Century Gothic" w:hAnsi="Century Gothic"/>
          <w:sz w:val="22"/>
          <w:szCs w:val="22"/>
        </w:rPr>
      </w:pPr>
    </w:p>
    <w:p w14:paraId="4F55BBDA">
      <w:pPr>
        <w:rPr>
          <w:rFonts w:ascii="Century Gothic" w:hAnsi="Century Gothic"/>
          <w:sz w:val="22"/>
          <w:szCs w:val="22"/>
        </w:rPr>
      </w:pPr>
    </w:p>
    <w:p w14:paraId="27146CFE">
      <w:pPr>
        <w:rPr>
          <w:rFonts w:ascii="Century Gothic" w:hAnsi="Century Gothic"/>
          <w:sz w:val="22"/>
          <w:szCs w:val="22"/>
        </w:rPr>
      </w:pPr>
    </w:p>
    <w:p w14:paraId="55A61B19">
      <w:pPr>
        <w:rPr>
          <w:rFonts w:ascii="Century Gothic" w:hAnsi="Century Gothic"/>
          <w:sz w:val="22"/>
          <w:szCs w:val="22"/>
        </w:rPr>
      </w:pPr>
    </w:p>
    <w:p w14:paraId="606A6B37">
      <w:pPr>
        <w:rPr>
          <w:rFonts w:ascii="Century Gothic" w:hAnsi="Century Gothic"/>
          <w:sz w:val="22"/>
          <w:szCs w:val="22"/>
        </w:rPr>
      </w:pPr>
    </w:p>
    <w:p w14:paraId="6DA014B7">
      <w:pPr>
        <w:rPr>
          <w:rFonts w:ascii="Century Gothic" w:hAnsi="Century Gothic"/>
          <w:sz w:val="22"/>
          <w:szCs w:val="22"/>
        </w:rPr>
      </w:pPr>
    </w:p>
    <w:p w14:paraId="3147945C">
      <w:pPr>
        <w:rPr>
          <w:rFonts w:ascii="Century Gothic" w:hAnsi="Century Gothic"/>
          <w:sz w:val="22"/>
          <w:szCs w:val="22"/>
        </w:rPr>
      </w:pPr>
    </w:p>
    <w:p w14:paraId="72093505">
      <w:pPr>
        <w:rPr>
          <w:rFonts w:ascii="Century Gothic" w:hAnsi="Century Gothic"/>
          <w:sz w:val="22"/>
          <w:szCs w:val="22"/>
        </w:rPr>
      </w:pPr>
    </w:p>
    <w:p w14:paraId="17FE3025">
      <w:pPr>
        <w:rPr>
          <w:rFonts w:ascii="Century Gothic" w:hAnsi="Century Gothic"/>
          <w:sz w:val="22"/>
          <w:szCs w:val="22"/>
        </w:rPr>
      </w:pPr>
    </w:p>
    <w:p w14:paraId="0D89B464">
      <w:pPr>
        <w:rPr>
          <w:rFonts w:ascii="Century Gothic" w:hAnsi="Century Gothic"/>
          <w:sz w:val="22"/>
          <w:szCs w:val="22"/>
        </w:rPr>
      </w:pPr>
    </w:p>
    <w:p w14:paraId="76DA1599">
      <w:pPr>
        <w:rPr>
          <w:rFonts w:ascii="Century Gothic" w:hAnsi="Century Gothic"/>
          <w:sz w:val="22"/>
          <w:szCs w:val="22"/>
        </w:rPr>
      </w:pPr>
    </w:p>
    <w:p w14:paraId="277B9468">
      <w:pPr>
        <w:rPr>
          <w:rFonts w:ascii="Century Gothic" w:hAnsi="Century Gothic"/>
          <w:sz w:val="22"/>
          <w:szCs w:val="22"/>
        </w:rPr>
      </w:pPr>
    </w:p>
    <w:p w14:paraId="4AF91D24">
      <w:pPr>
        <w:rPr>
          <w:rFonts w:ascii="Century Gothic" w:hAnsi="Century Gothic"/>
          <w:sz w:val="22"/>
          <w:szCs w:val="22"/>
        </w:rPr>
      </w:pPr>
    </w:p>
    <w:p w14:paraId="51DFD33B">
      <w:pPr>
        <w:rPr>
          <w:rFonts w:ascii="Century Gothic" w:hAnsi="Century Gothic"/>
          <w:sz w:val="22"/>
          <w:szCs w:val="22"/>
        </w:rPr>
      </w:pPr>
    </w:p>
    <w:p w14:paraId="12B76085">
      <w:pPr>
        <w:rPr>
          <w:rFonts w:ascii="Century Gothic" w:hAnsi="Century Gothic"/>
          <w:sz w:val="22"/>
          <w:szCs w:val="22"/>
        </w:rPr>
      </w:pPr>
    </w:p>
    <w:p w14:paraId="1FFE78E1">
      <w:pPr>
        <w:rPr>
          <w:rFonts w:ascii="Century Gothic" w:hAnsi="Century Gothic"/>
          <w:sz w:val="22"/>
          <w:szCs w:val="22"/>
        </w:rPr>
      </w:pPr>
    </w:p>
    <w:p w14:paraId="007009D0">
      <w:pPr>
        <w:rPr>
          <w:rFonts w:ascii="Century Gothic" w:hAnsi="Century Gothic"/>
          <w:sz w:val="22"/>
          <w:szCs w:val="22"/>
        </w:rPr>
      </w:pPr>
    </w:p>
    <w:p w14:paraId="65351B45">
      <w:pPr>
        <w:rPr>
          <w:rFonts w:ascii="Century Gothic" w:hAnsi="Century Gothic"/>
          <w:sz w:val="22"/>
          <w:szCs w:val="22"/>
        </w:rPr>
      </w:pPr>
    </w:p>
    <w:p w14:paraId="41641470">
      <w:pPr>
        <w:rPr>
          <w:rFonts w:ascii="Century Gothic" w:hAnsi="Century Gothic"/>
          <w:sz w:val="22"/>
          <w:szCs w:val="22"/>
        </w:rPr>
      </w:pPr>
    </w:p>
    <w:p w14:paraId="3770E0FC">
      <w:pPr>
        <w:rPr>
          <w:rFonts w:ascii="Century Gothic" w:hAnsi="Century Gothic"/>
          <w:sz w:val="22"/>
          <w:szCs w:val="22"/>
        </w:rPr>
      </w:pPr>
    </w:p>
    <w:p w14:paraId="0073E44A">
      <w:pPr>
        <w:rPr>
          <w:rFonts w:ascii="Century Gothic" w:hAnsi="Century Gothic"/>
          <w:sz w:val="22"/>
          <w:szCs w:val="22"/>
        </w:rPr>
      </w:pPr>
    </w:p>
    <w:p w14:paraId="79099BF5">
      <w:pPr>
        <w:rPr>
          <w:rFonts w:ascii="Century Gothic" w:hAnsi="Century Gothic"/>
          <w:sz w:val="22"/>
          <w:szCs w:val="22"/>
        </w:rPr>
      </w:pPr>
    </w:p>
    <w:p w14:paraId="4DF25172">
      <w:pPr>
        <w:rPr>
          <w:rFonts w:ascii="Century Gothic" w:hAnsi="Century Gothic"/>
          <w:b/>
          <w:sz w:val="22"/>
          <w:szCs w:val="22"/>
        </w:rPr>
      </w:pPr>
    </w:p>
    <w:p w14:paraId="4E156C91">
      <w:pPr>
        <w:pStyle w:val="65"/>
        <w:ind w:left="360"/>
        <w:rPr>
          <w:rFonts w:ascii="Century Gothic" w:hAnsi="Century Gothic"/>
          <w:b/>
          <w:sz w:val="22"/>
          <w:szCs w:val="22"/>
        </w:rPr>
      </w:pPr>
    </w:p>
    <w:p w14:paraId="26F2E259">
      <w:pPr>
        <w:pStyle w:val="65"/>
        <w:ind w:left="360"/>
        <w:rPr>
          <w:rFonts w:ascii="Century Gothic" w:hAnsi="Century Gothic"/>
          <w:b/>
          <w:sz w:val="22"/>
          <w:szCs w:val="22"/>
        </w:rPr>
      </w:pPr>
    </w:p>
    <w:p w14:paraId="432B2589">
      <w:pPr>
        <w:pStyle w:val="65"/>
        <w:numPr>
          <w:ilvl w:val="1"/>
          <w:numId w:val="103"/>
        </w:numPr>
        <w:rPr>
          <w:rFonts w:ascii="Century Gothic" w:hAnsi="Century Gothic"/>
          <w:b/>
          <w:sz w:val="22"/>
          <w:szCs w:val="22"/>
        </w:rPr>
      </w:pPr>
      <w:r>
        <w:rPr>
          <w:rFonts w:ascii="Century Gothic" w:hAnsi="Century Gothic"/>
          <w:b/>
          <w:sz w:val="22"/>
          <w:szCs w:val="22"/>
        </w:rPr>
        <w:t>Vinculación proveedores/contratistas persona natural y persona jurídica.</w:t>
      </w:r>
    </w:p>
    <w:p w14:paraId="0009B505">
      <w:pPr>
        <w:rPr>
          <w:lang w:val="es-ES"/>
        </w:rPr>
      </w:pPr>
    </w:p>
    <w:p w14:paraId="458A4D32">
      <w:pPr>
        <w:pStyle w:val="86"/>
        <w:jc w:val="both"/>
        <w:rPr>
          <w:rFonts w:ascii="Century Gothic" w:hAnsi="Century Gothic" w:cs="Arial"/>
          <w:sz w:val="20"/>
          <w:szCs w:val="20"/>
        </w:rPr>
      </w:pPr>
      <w:r>
        <w:rPr>
          <w:rFonts w:ascii="Century Gothic" w:hAnsi="Century Gothic" w:cs="Calibri"/>
          <w:sz w:val="20"/>
          <w:szCs w:val="20"/>
        </w:rPr>
        <w:t xml:space="preserve">La  Entidad </w:t>
      </w:r>
      <w:r>
        <w:rPr>
          <w:rFonts w:ascii="Century Gothic" w:hAnsi="Century Gothic" w:cs="Arial"/>
          <w:sz w:val="20"/>
          <w:szCs w:val="20"/>
        </w:rPr>
        <w:t xml:space="preserve">previo a la aceptación como proveedores/contratistas, ya sean personas naturales o jurídicas; solicitará el diligenciamiento y firma de los siguientes formularios; así mismo verificará la veracidad de la información allí contenida. </w:t>
      </w:r>
      <w:r>
        <w:rPr>
          <w:rFonts w:ascii="Century Gothic" w:hAnsi="Century Gothic"/>
          <w:sz w:val="20"/>
          <w:szCs w:val="20"/>
        </w:rPr>
        <w:t>De otra parte, realizará las diligencias necesarias para confirmar y actualizar por lo menos una vez al año, los datos suministrados en el formulario de vinculación y/o actualización, que por su naturaleza puedan variar.</w:t>
      </w:r>
    </w:p>
    <w:p w14:paraId="0F721EB7">
      <w:pPr>
        <w:rPr>
          <w:rFonts w:ascii="Century Gothic" w:hAnsi="Century Gothic"/>
          <w:sz w:val="22"/>
          <w:szCs w:val="22"/>
        </w:rPr>
      </w:pPr>
    </w:p>
    <w:p w14:paraId="2811182B">
      <w:pPr>
        <w:rPr>
          <w:rFonts w:ascii="Century Gothic" w:hAnsi="Century Gothic"/>
          <w:b/>
          <w:sz w:val="22"/>
          <w:szCs w:val="22"/>
        </w:rPr>
      </w:pPr>
      <w:r>
        <w:rPr>
          <w:rFonts w:ascii="Century Gothic" w:hAnsi="Century Gothic"/>
          <w:b/>
          <w:sz w:val="22"/>
          <w:szCs w:val="22"/>
        </w:rPr>
        <w:t>Vinculación proveedores/contratistas persona natural</w:t>
      </w:r>
    </w:p>
    <w:p w14:paraId="46457F14">
      <w:pPr>
        <w:rPr>
          <w:rFonts w:ascii="Century Gothic" w:hAnsi="Century Gothic"/>
          <w:sz w:val="22"/>
          <w:szCs w:val="22"/>
        </w:rPr>
      </w:pPr>
      <w:r>
        <w:rPr>
          <w:lang w:eastAsia="es-CO"/>
        </w:rPr>
        <w:drawing>
          <wp:anchor distT="0" distB="0" distL="114300" distR="114300" simplePos="0" relativeHeight="251674624" behindDoc="1" locked="0" layoutInCell="1" allowOverlap="1">
            <wp:simplePos x="0" y="0"/>
            <wp:positionH relativeFrom="column">
              <wp:posOffset>-106045</wp:posOffset>
            </wp:positionH>
            <wp:positionV relativeFrom="paragraph">
              <wp:posOffset>173990</wp:posOffset>
            </wp:positionV>
            <wp:extent cx="5794375" cy="5842000"/>
            <wp:effectExtent l="0" t="0" r="0" b="6350"/>
            <wp:wrapNone/>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n 48"/>
                    <pic:cNvPicPr>
                      <a:picLocks noChangeAspect="1"/>
                    </pic:cNvPicPr>
                  </pic:nvPicPr>
                  <pic:blipFill>
                    <a:blip r:embed="rId16" cstate="print">
                      <a:extLst>
                        <a:ext uri="{28A0092B-C50C-407E-A947-70E740481C1C}">
                          <a14:useLocalDpi xmlns:a14="http://schemas.microsoft.com/office/drawing/2010/main" val="0"/>
                        </a:ext>
                      </a:extLst>
                    </a:blip>
                    <a:srcRect l="21373" t="16865" r="44349" b="4411"/>
                    <a:stretch>
                      <a:fillRect/>
                    </a:stretch>
                  </pic:blipFill>
                  <pic:spPr>
                    <a:xfrm>
                      <a:off x="0" y="0"/>
                      <a:ext cx="5795484" cy="5842952"/>
                    </a:xfrm>
                    <a:prstGeom prst="rect">
                      <a:avLst/>
                    </a:prstGeom>
                    <a:ln>
                      <a:noFill/>
                    </a:ln>
                  </pic:spPr>
                </pic:pic>
              </a:graphicData>
            </a:graphic>
          </wp:anchor>
        </w:drawing>
      </w:r>
    </w:p>
    <w:p w14:paraId="73290D43"/>
    <w:p w14:paraId="08EEABDE"/>
    <w:p w14:paraId="4744261C"/>
    <w:p w14:paraId="1C76DE6F"/>
    <w:p w14:paraId="17400F22"/>
    <w:p w14:paraId="0F9157C8"/>
    <w:p w14:paraId="55E1519F"/>
    <w:p w14:paraId="400522EB"/>
    <w:p w14:paraId="20196944"/>
    <w:p w14:paraId="09E80BA8"/>
    <w:p w14:paraId="2613D71E"/>
    <w:p w14:paraId="62305E62"/>
    <w:p w14:paraId="74A1B030"/>
    <w:p w14:paraId="79F1126D"/>
    <w:p w14:paraId="305CDC81"/>
    <w:p w14:paraId="758412E8"/>
    <w:p w14:paraId="66D64A83"/>
    <w:p w14:paraId="45F563B9"/>
    <w:p w14:paraId="71FF8BC4"/>
    <w:p w14:paraId="73A1DD0E"/>
    <w:p w14:paraId="23AA4FDC"/>
    <w:p w14:paraId="57C66271"/>
    <w:p w14:paraId="70BB79BE"/>
    <w:p w14:paraId="633A4F0E"/>
    <w:p w14:paraId="4EF7AE9E"/>
    <w:p w14:paraId="0EF2B7C5"/>
    <w:p w14:paraId="1080C847"/>
    <w:p w14:paraId="378FF8C0"/>
    <w:p w14:paraId="2946B6FE"/>
    <w:p w14:paraId="18E6EE91"/>
    <w:p w14:paraId="6E5ADE4E"/>
    <w:p w14:paraId="2F0F47EE">
      <w:r>
        <w:rPr>
          <w:lang w:eastAsia="es-CO"/>
        </w:rPr>
        <w:drawing>
          <wp:anchor distT="0" distB="0" distL="114300" distR="114300" simplePos="0" relativeHeight="251675648" behindDoc="1" locked="0" layoutInCell="1" allowOverlap="1">
            <wp:simplePos x="0" y="0"/>
            <wp:positionH relativeFrom="column">
              <wp:posOffset>-93980</wp:posOffset>
            </wp:positionH>
            <wp:positionV relativeFrom="paragraph">
              <wp:posOffset>39370</wp:posOffset>
            </wp:positionV>
            <wp:extent cx="6067425" cy="7748905"/>
            <wp:effectExtent l="0" t="0" r="0" b="4445"/>
            <wp:wrapNone/>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n 49"/>
                    <pic:cNvPicPr>
                      <a:picLocks noChangeAspect="1"/>
                    </pic:cNvPicPr>
                  </pic:nvPicPr>
                  <pic:blipFill>
                    <a:blip r:embed="rId17" cstate="print">
                      <a:extLst>
                        <a:ext uri="{28A0092B-C50C-407E-A947-70E740481C1C}">
                          <a14:useLocalDpi xmlns:a14="http://schemas.microsoft.com/office/drawing/2010/main" val="0"/>
                        </a:ext>
                      </a:extLst>
                    </a:blip>
                    <a:srcRect l="20953" t="16112" r="43698" b="4042"/>
                    <a:stretch>
                      <a:fillRect/>
                    </a:stretch>
                  </pic:blipFill>
                  <pic:spPr>
                    <a:xfrm>
                      <a:off x="0" y="0"/>
                      <a:ext cx="6084360" cy="7770745"/>
                    </a:xfrm>
                    <a:prstGeom prst="rect">
                      <a:avLst/>
                    </a:prstGeom>
                    <a:ln>
                      <a:noFill/>
                    </a:ln>
                  </pic:spPr>
                </pic:pic>
              </a:graphicData>
            </a:graphic>
          </wp:anchor>
        </w:drawing>
      </w:r>
    </w:p>
    <w:p w14:paraId="78473705"/>
    <w:p w14:paraId="5F16B88B"/>
    <w:p w14:paraId="05B2A4E9"/>
    <w:p w14:paraId="316D2E26"/>
    <w:p w14:paraId="03DF16E5">
      <w:pPr>
        <w:rPr>
          <w:rFonts w:ascii="Century Gothic" w:hAnsi="Century Gothic"/>
          <w:b/>
          <w:sz w:val="22"/>
          <w:szCs w:val="22"/>
        </w:rPr>
      </w:pPr>
      <w:r>
        <w:rPr>
          <w:rFonts w:ascii="Century Gothic" w:hAnsi="Century Gothic"/>
          <w:b/>
          <w:sz w:val="22"/>
          <w:szCs w:val="22"/>
        </w:rPr>
        <w:t>Vinculación proveedores/contratistas persona Jurídica</w:t>
      </w:r>
    </w:p>
    <w:p w14:paraId="3D7CAD59">
      <w:pPr>
        <w:pStyle w:val="65"/>
        <w:ind w:left="360"/>
        <w:rPr>
          <w:rFonts w:ascii="Century Gothic" w:hAnsi="Century Gothic"/>
          <w:b/>
          <w:sz w:val="22"/>
          <w:szCs w:val="22"/>
        </w:rPr>
      </w:pPr>
    </w:p>
    <w:p w14:paraId="731316BB">
      <w:pPr>
        <w:pStyle w:val="65"/>
        <w:ind w:left="360"/>
        <w:rPr>
          <w:rFonts w:ascii="Century Gothic" w:hAnsi="Century Gothic"/>
          <w:b/>
          <w:sz w:val="22"/>
          <w:szCs w:val="22"/>
        </w:rPr>
      </w:pPr>
      <w:r>
        <w:rPr>
          <w:lang w:val="es-CO" w:eastAsia="es-CO"/>
        </w:rPr>
        <w:drawing>
          <wp:anchor distT="0" distB="0" distL="114300" distR="114300" simplePos="0" relativeHeight="251676672" behindDoc="1" locked="0" layoutInCell="1" allowOverlap="1">
            <wp:simplePos x="0" y="0"/>
            <wp:positionH relativeFrom="column">
              <wp:posOffset>-118110</wp:posOffset>
            </wp:positionH>
            <wp:positionV relativeFrom="paragraph">
              <wp:posOffset>136525</wp:posOffset>
            </wp:positionV>
            <wp:extent cx="6151245" cy="6839585"/>
            <wp:effectExtent l="0" t="0" r="1905" b="0"/>
            <wp:wrapNone/>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n 65"/>
                    <pic:cNvPicPr>
                      <a:picLocks noChangeAspect="1"/>
                    </pic:cNvPicPr>
                  </pic:nvPicPr>
                  <pic:blipFill>
                    <a:blip r:embed="rId18" cstate="print">
                      <a:extLst>
                        <a:ext uri="{28A0092B-C50C-407E-A947-70E740481C1C}">
                          <a14:useLocalDpi xmlns:a14="http://schemas.microsoft.com/office/drawing/2010/main" val="0"/>
                        </a:ext>
                      </a:extLst>
                    </a:blip>
                    <a:srcRect l="20952" t="16115" r="43925" b="3667"/>
                    <a:stretch>
                      <a:fillRect/>
                    </a:stretch>
                  </pic:blipFill>
                  <pic:spPr>
                    <a:xfrm>
                      <a:off x="0" y="0"/>
                      <a:ext cx="6154095" cy="6842562"/>
                    </a:xfrm>
                    <a:prstGeom prst="rect">
                      <a:avLst/>
                    </a:prstGeom>
                    <a:ln>
                      <a:noFill/>
                    </a:ln>
                  </pic:spPr>
                </pic:pic>
              </a:graphicData>
            </a:graphic>
          </wp:anchor>
        </w:drawing>
      </w:r>
    </w:p>
    <w:p w14:paraId="3E5BF740">
      <w:pPr>
        <w:pStyle w:val="65"/>
        <w:ind w:left="360"/>
        <w:rPr>
          <w:rFonts w:ascii="Century Gothic" w:hAnsi="Century Gothic"/>
          <w:b/>
          <w:sz w:val="22"/>
          <w:szCs w:val="22"/>
        </w:rPr>
      </w:pPr>
    </w:p>
    <w:p w14:paraId="69291AB4">
      <w:pPr>
        <w:pStyle w:val="65"/>
        <w:ind w:left="360"/>
        <w:rPr>
          <w:rFonts w:ascii="Century Gothic" w:hAnsi="Century Gothic"/>
          <w:b/>
          <w:sz w:val="22"/>
          <w:szCs w:val="22"/>
        </w:rPr>
      </w:pPr>
    </w:p>
    <w:p w14:paraId="68F25E07">
      <w:pPr>
        <w:pStyle w:val="65"/>
        <w:ind w:left="360"/>
        <w:rPr>
          <w:rFonts w:ascii="Century Gothic" w:hAnsi="Century Gothic"/>
          <w:b/>
          <w:sz w:val="22"/>
          <w:szCs w:val="22"/>
        </w:rPr>
      </w:pPr>
    </w:p>
    <w:p w14:paraId="350E2F4D">
      <w:pPr>
        <w:pStyle w:val="65"/>
        <w:ind w:left="360"/>
        <w:rPr>
          <w:rFonts w:ascii="Century Gothic" w:hAnsi="Century Gothic"/>
          <w:b/>
          <w:sz w:val="22"/>
          <w:szCs w:val="22"/>
        </w:rPr>
      </w:pPr>
    </w:p>
    <w:p w14:paraId="7C396101">
      <w:pPr>
        <w:pStyle w:val="65"/>
        <w:ind w:left="360"/>
        <w:rPr>
          <w:rFonts w:ascii="Century Gothic" w:hAnsi="Century Gothic"/>
          <w:b/>
          <w:sz w:val="22"/>
          <w:szCs w:val="22"/>
        </w:rPr>
      </w:pPr>
    </w:p>
    <w:p w14:paraId="404B60DE">
      <w:pPr>
        <w:pStyle w:val="65"/>
        <w:ind w:left="360"/>
        <w:rPr>
          <w:rFonts w:ascii="Century Gothic" w:hAnsi="Century Gothic"/>
          <w:b/>
          <w:sz w:val="22"/>
          <w:szCs w:val="22"/>
        </w:rPr>
      </w:pPr>
    </w:p>
    <w:p w14:paraId="4D1EA83A">
      <w:pPr>
        <w:pStyle w:val="65"/>
        <w:ind w:left="360"/>
        <w:rPr>
          <w:rFonts w:ascii="Century Gothic" w:hAnsi="Century Gothic"/>
          <w:b/>
          <w:sz w:val="22"/>
          <w:szCs w:val="22"/>
        </w:rPr>
      </w:pPr>
    </w:p>
    <w:p w14:paraId="2C288CEB">
      <w:pPr>
        <w:pStyle w:val="65"/>
        <w:ind w:left="360"/>
        <w:rPr>
          <w:rFonts w:ascii="Century Gothic" w:hAnsi="Century Gothic"/>
          <w:b/>
          <w:sz w:val="22"/>
          <w:szCs w:val="22"/>
        </w:rPr>
      </w:pPr>
    </w:p>
    <w:p w14:paraId="2AB2D0AA">
      <w:pPr>
        <w:pStyle w:val="65"/>
        <w:ind w:left="360"/>
        <w:rPr>
          <w:rFonts w:ascii="Century Gothic" w:hAnsi="Century Gothic"/>
          <w:b/>
          <w:sz w:val="22"/>
          <w:szCs w:val="22"/>
        </w:rPr>
      </w:pPr>
    </w:p>
    <w:p w14:paraId="28FBD390">
      <w:pPr>
        <w:pStyle w:val="65"/>
        <w:ind w:left="360"/>
        <w:rPr>
          <w:rFonts w:ascii="Century Gothic" w:hAnsi="Century Gothic"/>
          <w:b/>
          <w:sz w:val="22"/>
          <w:szCs w:val="22"/>
        </w:rPr>
      </w:pPr>
    </w:p>
    <w:p w14:paraId="5FF011EE">
      <w:pPr>
        <w:pStyle w:val="65"/>
        <w:ind w:left="360"/>
        <w:rPr>
          <w:rFonts w:ascii="Century Gothic" w:hAnsi="Century Gothic"/>
          <w:b/>
          <w:sz w:val="22"/>
          <w:szCs w:val="22"/>
        </w:rPr>
      </w:pPr>
    </w:p>
    <w:p w14:paraId="17ECB067">
      <w:pPr>
        <w:pStyle w:val="65"/>
        <w:ind w:left="360"/>
        <w:rPr>
          <w:rFonts w:ascii="Century Gothic" w:hAnsi="Century Gothic"/>
          <w:b/>
          <w:sz w:val="22"/>
          <w:szCs w:val="22"/>
        </w:rPr>
      </w:pPr>
    </w:p>
    <w:p w14:paraId="6E382A32">
      <w:pPr>
        <w:pStyle w:val="65"/>
        <w:ind w:left="360"/>
        <w:rPr>
          <w:rFonts w:ascii="Century Gothic" w:hAnsi="Century Gothic"/>
          <w:b/>
          <w:sz w:val="22"/>
          <w:szCs w:val="22"/>
        </w:rPr>
      </w:pPr>
    </w:p>
    <w:p w14:paraId="7BB7A4A4">
      <w:pPr>
        <w:pStyle w:val="65"/>
        <w:ind w:left="360"/>
        <w:rPr>
          <w:rFonts w:ascii="Century Gothic" w:hAnsi="Century Gothic"/>
          <w:b/>
          <w:sz w:val="22"/>
          <w:szCs w:val="22"/>
        </w:rPr>
      </w:pPr>
    </w:p>
    <w:p w14:paraId="4F3417BF">
      <w:pPr>
        <w:pStyle w:val="65"/>
        <w:ind w:left="360"/>
        <w:rPr>
          <w:rFonts w:ascii="Century Gothic" w:hAnsi="Century Gothic"/>
          <w:b/>
          <w:sz w:val="22"/>
          <w:szCs w:val="22"/>
        </w:rPr>
      </w:pPr>
    </w:p>
    <w:p w14:paraId="1C7FD115">
      <w:pPr>
        <w:pStyle w:val="65"/>
        <w:ind w:left="360"/>
        <w:rPr>
          <w:rFonts w:ascii="Century Gothic" w:hAnsi="Century Gothic"/>
          <w:b/>
          <w:sz w:val="22"/>
          <w:szCs w:val="22"/>
        </w:rPr>
      </w:pPr>
    </w:p>
    <w:p w14:paraId="6E84CC2C">
      <w:pPr>
        <w:pStyle w:val="65"/>
        <w:ind w:left="360"/>
        <w:rPr>
          <w:rFonts w:ascii="Century Gothic" w:hAnsi="Century Gothic"/>
          <w:b/>
          <w:sz w:val="22"/>
          <w:szCs w:val="22"/>
        </w:rPr>
      </w:pPr>
    </w:p>
    <w:p w14:paraId="7799A101">
      <w:pPr>
        <w:pStyle w:val="65"/>
        <w:ind w:left="360"/>
        <w:rPr>
          <w:rFonts w:ascii="Century Gothic" w:hAnsi="Century Gothic"/>
          <w:b/>
          <w:sz w:val="22"/>
          <w:szCs w:val="22"/>
        </w:rPr>
      </w:pPr>
    </w:p>
    <w:p w14:paraId="5BC2884A">
      <w:pPr>
        <w:pStyle w:val="65"/>
        <w:ind w:left="360"/>
        <w:rPr>
          <w:rFonts w:ascii="Century Gothic" w:hAnsi="Century Gothic"/>
          <w:b/>
          <w:sz w:val="22"/>
          <w:szCs w:val="22"/>
        </w:rPr>
      </w:pPr>
    </w:p>
    <w:p w14:paraId="50F3727F">
      <w:pPr>
        <w:pStyle w:val="65"/>
        <w:ind w:left="360"/>
        <w:rPr>
          <w:rFonts w:ascii="Century Gothic" w:hAnsi="Century Gothic"/>
          <w:b/>
          <w:sz w:val="22"/>
          <w:szCs w:val="22"/>
        </w:rPr>
      </w:pPr>
    </w:p>
    <w:p w14:paraId="267C5665">
      <w:pPr>
        <w:pStyle w:val="65"/>
        <w:ind w:left="360"/>
        <w:rPr>
          <w:rFonts w:ascii="Century Gothic" w:hAnsi="Century Gothic"/>
          <w:b/>
          <w:sz w:val="22"/>
          <w:szCs w:val="22"/>
        </w:rPr>
      </w:pPr>
    </w:p>
    <w:p w14:paraId="0B0B1585">
      <w:pPr>
        <w:pStyle w:val="65"/>
        <w:ind w:left="360"/>
        <w:rPr>
          <w:rFonts w:ascii="Century Gothic" w:hAnsi="Century Gothic"/>
          <w:b/>
          <w:sz w:val="22"/>
          <w:szCs w:val="22"/>
        </w:rPr>
      </w:pPr>
    </w:p>
    <w:p w14:paraId="434544F7">
      <w:pPr>
        <w:pStyle w:val="65"/>
        <w:ind w:left="360"/>
        <w:rPr>
          <w:rFonts w:ascii="Century Gothic" w:hAnsi="Century Gothic"/>
          <w:b/>
          <w:sz w:val="22"/>
          <w:szCs w:val="22"/>
        </w:rPr>
      </w:pPr>
    </w:p>
    <w:p w14:paraId="537393AB">
      <w:pPr>
        <w:pStyle w:val="65"/>
        <w:ind w:left="360"/>
        <w:rPr>
          <w:rFonts w:ascii="Century Gothic" w:hAnsi="Century Gothic"/>
          <w:b/>
          <w:sz w:val="22"/>
          <w:szCs w:val="22"/>
        </w:rPr>
      </w:pPr>
    </w:p>
    <w:p w14:paraId="13F4DC18">
      <w:pPr>
        <w:pStyle w:val="65"/>
        <w:ind w:left="360"/>
        <w:rPr>
          <w:rFonts w:ascii="Century Gothic" w:hAnsi="Century Gothic"/>
          <w:b/>
          <w:sz w:val="22"/>
          <w:szCs w:val="22"/>
        </w:rPr>
      </w:pPr>
    </w:p>
    <w:p w14:paraId="33AC3772">
      <w:pPr>
        <w:pStyle w:val="65"/>
        <w:ind w:left="360"/>
        <w:rPr>
          <w:rFonts w:ascii="Century Gothic" w:hAnsi="Century Gothic"/>
          <w:b/>
          <w:sz w:val="22"/>
          <w:szCs w:val="22"/>
        </w:rPr>
      </w:pPr>
    </w:p>
    <w:p w14:paraId="70D7E920">
      <w:pPr>
        <w:pStyle w:val="65"/>
        <w:ind w:left="360"/>
        <w:rPr>
          <w:rFonts w:ascii="Century Gothic" w:hAnsi="Century Gothic"/>
          <w:b/>
          <w:sz w:val="22"/>
          <w:szCs w:val="22"/>
        </w:rPr>
      </w:pPr>
    </w:p>
    <w:p w14:paraId="2617733A">
      <w:pPr>
        <w:pStyle w:val="65"/>
        <w:ind w:left="360"/>
        <w:rPr>
          <w:rFonts w:ascii="Century Gothic" w:hAnsi="Century Gothic"/>
          <w:b/>
          <w:sz w:val="22"/>
          <w:szCs w:val="22"/>
        </w:rPr>
      </w:pPr>
    </w:p>
    <w:p w14:paraId="6CAC429F">
      <w:pPr>
        <w:pStyle w:val="65"/>
        <w:ind w:left="360"/>
        <w:rPr>
          <w:rFonts w:ascii="Century Gothic" w:hAnsi="Century Gothic"/>
          <w:b/>
          <w:sz w:val="22"/>
          <w:szCs w:val="22"/>
        </w:rPr>
      </w:pPr>
    </w:p>
    <w:p w14:paraId="2784C3B3">
      <w:pPr>
        <w:pStyle w:val="65"/>
        <w:ind w:left="360"/>
        <w:rPr>
          <w:rFonts w:ascii="Century Gothic" w:hAnsi="Century Gothic"/>
          <w:b/>
          <w:sz w:val="22"/>
          <w:szCs w:val="22"/>
        </w:rPr>
      </w:pPr>
    </w:p>
    <w:p w14:paraId="2B548045">
      <w:pPr>
        <w:pStyle w:val="65"/>
        <w:ind w:left="360"/>
        <w:rPr>
          <w:rFonts w:ascii="Century Gothic" w:hAnsi="Century Gothic"/>
          <w:b/>
          <w:sz w:val="22"/>
          <w:szCs w:val="22"/>
        </w:rPr>
      </w:pPr>
    </w:p>
    <w:p w14:paraId="63C9B387">
      <w:pPr>
        <w:pStyle w:val="65"/>
        <w:ind w:left="360"/>
        <w:rPr>
          <w:rFonts w:ascii="Century Gothic" w:hAnsi="Century Gothic"/>
          <w:b/>
          <w:sz w:val="22"/>
          <w:szCs w:val="22"/>
        </w:rPr>
      </w:pPr>
    </w:p>
    <w:p w14:paraId="4BF9216D">
      <w:pPr>
        <w:pStyle w:val="65"/>
        <w:ind w:left="360"/>
        <w:rPr>
          <w:rFonts w:ascii="Century Gothic" w:hAnsi="Century Gothic"/>
          <w:b/>
          <w:sz w:val="22"/>
          <w:szCs w:val="22"/>
        </w:rPr>
      </w:pPr>
    </w:p>
    <w:p w14:paraId="2F843534">
      <w:pPr>
        <w:pStyle w:val="65"/>
        <w:ind w:left="360"/>
        <w:rPr>
          <w:rFonts w:ascii="Century Gothic" w:hAnsi="Century Gothic"/>
          <w:b/>
          <w:sz w:val="22"/>
          <w:szCs w:val="22"/>
        </w:rPr>
      </w:pPr>
    </w:p>
    <w:p w14:paraId="26D00815">
      <w:pPr>
        <w:pStyle w:val="65"/>
        <w:ind w:left="360"/>
        <w:rPr>
          <w:rFonts w:ascii="Century Gothic" w:hAnsi="Century Gothic"/>
          <w:b/>
          <w:sz w:val="22"/>
          <w:szCs w:val="22"/>
        </w:rPr>
      </w:pPr>
    </w:p>
    <w:p w14:paraId="15D2C288">
      <w:pPr>
        <w:pStyle w:val="65"/>
        <w:ind w:left="360"/>
        <w:rPr>
          <w:rFonts w:ascii="Century Gothic" w:hAnsi="Century Gothic"/>
          <w:b/>
          <w:sz w:val="22"/>
          <w:szCs w:val="22"/>
        </w:rPr>
      </w:pPr>
    </w:p>
    <w:p w14:paraId="517D9806">
      <w:pPr>
        <w:pStyle w:val="65"/>
        <w:ind w:left="360"/>
        <w:rPr>
          <w:rFonts w:ascii="Century Gothic" w:hAnsi="Century Gothic"/>
          <w:b/>
          <w:sz w:val="22"/>
          <w:szCs w:val="22"/>
        </w:rPr>
      </w:pPr>
    </w:p>
    <w:p w14:paraId="5A3DF5FF">
      <w:pPr>
        <w:pStyle w:val="65"/>
        <w:ind w:left="360"/>
        <w:rPr>
          <w:rFonts w:ascii="Century Gothic" w:hAnsi="Century Gothic"/>
          <w:b/>
          <w:sz w:val="22"/>
          <w:szCs w:val="22"/>
        </w:rPr>
      </w:pPr>
    </w:p>
    <w:p w14:paraId="16130CFC">
      <w:pPr>
        <w:pStyle w:val="65"/>
        <w:ind w:left="360"/>
        <w:rPr>
          <w:rFonts w:ascii="Century Gothic" w:hAnsi="Century Gothic"/>
          <w:b/>
          <w:sz w:val="22"/>
          <w:szCs w:val="22"/>
        </w:rPr>
      </w:pPr>
    </w:p>
    <w:p w14:paraId="73E5CEC0">
      <w:pPr>
        <w:pStyle w:val="65"/>
        <w:ind w:left="360"/>
        <w:rPr>
          <w:rFonts w:ascii="Century Gothic" w:hAnsi="Century Gothic"/>
          <w:b/>
          <w:sz w:val="22"/>
          <w:szCs w:val="22"/>
        </w:rPr>
      </w:pPr>
      <w:r>
        <w:rPr>
          <w:lang w:val="es-CO" w:eastAsia="es-CO"/>
        </w:rPr>
        <w:drawing>
          <wp:anchor distT="0" distB="0" distL="114300" distR="114300" simplePos="0" relativeHeight="251677696" behindDoc="1" locked="0" layoutInCell="1" allowOverlap="1">
            <wp:simplePos x="0" y="0"/>
            <wp:positionH relativeFrom="column">
              <wp:posOffset>-93980</wp:posOffset>
            </wp:positionH>
            <wp:positionV relativeFrom="paragraph">
              <wp:posOffset>3810</wp:posOffset>
            </wp:positionV>
            <wp:extent cx="6103620" cy="7327265"/>
            <wp:effectExtent l="0" t="0" r="0" b="7620"/>
            <wp:wrapNone/>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n 80"/>
                    <pic:cNvPicPr>
                      <a:picLocks noChangeAspect="1"/>
                    </pic:cNvPicPr>
                  </pic:nvPicPr>
                  <pic:blipFill>
                    <a:blip r:embed="rId19" cstate="print">
                      <a:extLst>
                        <a:ext uri="{28A0092B-C50C-407E-A947-70E740481C1C}">
                          <a14:useLocalDpi xmlns:a14="http://schemas.microsoft.com/office/drawing/2010/main" val="0"/>
                        </a:ext>
                      </a:extLst>
                    </a:blip>
                    <a:srcRect l="21161" t="16492" r="44137" b="4786"/>
                    <a:stretch>
                      <a:fillRect/>
                    </a:stretch>
                  </pic:blipFill>
                  <pic:spPr>
                    <a:xfrm>
                      <a:off x="0" y="0"/>
                      <a:ext cx="6132962" cy="7362299"/>
                    </a:xfrm>
                    <a:prstGeom prst="rect">
                      <a:avLst/>
                    </a:prstGeom>
                    <a:ln>
                      <a:noFill/>
                    </a:ln>
                  </pic:spPr>
                </pic:pic>
              </a:graphicData>
            </a:graphic>
          </wp:anchor>
        </w:drawing>
      </w:r>
    </w:p>
    <w:p w14:paraId="728C2323">
      <w:pPr>
        <w:pStyle w:val="65"/>
        <w:ind w:left="360"/>
        <w:rPr>
          <w:rFonts w:ascii="Century Gothic" w:hAnsi="Century Gothic"/>
          <w:b/>
          <w:sz w:val="22"/>
          <w:szCs w:val="22"/>
        </w:rPr>
      </w:pPr>
    </w:p>
    <w:p w14:paraId="052CD81A">
      <w:pPr>
        <w:pStyle w:val="65"/>
        <w:ind w:left="360"/>
        <w:rPr>
          <w:rFonts w:ascii="Century Gothic" w:hAnsi="Century Gothic"/>
          <w:b/>
          <w:sz w:val="22"/>
          <w:szCs w:val="22"/>
        </w:rPr>
      </w:pPr>
    </w:p>
    <w:p w14:paraId="246AFD97">
      <w:pPr>
        <w:pStyle w:val="65"/>
        <w:ind w:left="360"/>
        <w:rPr>
          <w:rFonts w:ascii="Century Gothic" w:hAnsi="Century Gothic"/>
          <w:b/>
          <w:sz w:val="22"/>
          <w:szCs w:val="22"/>
        </w:rPr>
      </w:pPr>
    </w:p>
    <w:p w14:paraId="378F60C6">
      <w:pPr>
        <w:pStyle w:val="65"/>
        <w:ind w:left="360"/>
        <w:rPr>
          <w:rFonts w:ascii="Century Gothic" w:hAnsi="Century Gothic"/>
          <w:b/>
          <w:sz w:val="22"/>
          <w:szCs w:val="22"/>
        </w:rPr>
      </w:pPr>
    </w:p>
    <w:p w14:paraId="12805A62">
      <w:pPr>
        <w:pStyle w:val="65"/>
        <w:ind w:left="360"/>
        <w:rPr>
          <w:rFonts w:ascii="Century Gothic" w:hAnsi="Century Gothic"/>
          <w:b/>
          <w:sz w:val="22"/>
          <w:szCs w:val="22"/>
        </w:rPr>
      </w:pPr>
    </w:p>
    <w:p w14:paraId="61181BE5">
      <w:pPr>
        <w:pStyle w:val="65"/>
        <w:ind w:left="360"/>
        <w:rPr>
          <w:rFonts w:ascii="Century Gothic" w:hAnsi="Century Gothic"/>
          <w:b/>
          <w:sz w:val="22"/>
          <w:szCs w:val="22"/>
        </w:rPr>
      </w:pPr>
    </w:p>
    <w:p w14:paraId="74F3062A">
      <w:pPr>
        <w:pStyle w:val="65"/>
        <w:ind w:left="360"/>
        <w:rPr>
          <w:rFonts w:ascii="Century Gothic" w:hAnsi="Century Gothic"/>
          <w:b/>
          <w:sz w:val="22"/>
          <w:szCs w:val="22"/>
        </w:rPr>
      </w:pPr>
    </w:p>
    <w:p w14:paraId="2A4081A1">
      <w:pPr>
        <w:pStyle w:val="65"/>
        <w:ind w:left="360"/>
        <w:rPr>
          <w:rFonts w:ascii="Century Gothic" w:hAnsi="Century Gothic"/>
          <w:b/>
          <w:sz w:val="22"/>
          <w:szCs w:val="22"/>
        </w:rPr>
      </w:pPr>
    </w:p>
    <w:p w14:paraId="75F817C9">
      <w:pPr>
        <w:pStyle w:val="65"/>
        <w:ind w:left="360"/>
        <w:rPr>
          <w:rFonts w:ascii="Century Gothic" w:hAnsi="Century Gothic"/>
          <w:b/>
          <w:sz w:val="22"/>
          <w:szCs w:val="22"/>
        </w:rPr>
      </w:pPr>
    </w:p>
    <w:p w14:paraId="4D4FC955">
      <w:pPr>
        <w:pStyle w:val="65"/>
        <w:ind w:left="360"/>
        <w:rPr>
          <w:rFonts w:ascii="Century Gothic" w:hAnsi="Century Gothic"/>
          <w:b/>
          <w:sz w:val="22"/>
          <w:szCs w:val="22"/>
        </w:rPr>
      </w:pPr>
    </w:p>
    <w:p w14:paraId="08EB96C7">
      <w:pPr>
        <w:pStyle w:val="65"/>
        <w:ind w:left="360"/>
        <w:rPr>
          <w:rFonts w:ascii="Century Gothic" w:hAnsi="Century Gothic"/>
          <w:b/>
          <w:sz w:val="22"/>
          <w:szCs w:val="22"/>
        </w:rPr>
      </w:pPr>
    </w:p>
    <w:p w14:paraId="5103FC0D">
      <w:pPr>
        <w:pStyle w:val="65"/>
        <w:ind w:left="360"/>
        <w:rPr>
          <w:rFonts w:ascii="Century Gothic" w:hAnsi="Century Gothic"/>
          <w:b/>
          <w:sz w:val="22"/>
          <w:szCs w:val="22"/>
        </w:rPr>
      </w:pPr>
    </w:p>
    <w:p w14:paraId="20E95B90">
      <w:pPr>
        <w:pStyle w:val="65"/>
        <w:ind w:left="360"/>
        <w:rPr>
          <w:rFonts w:ascii="Century Gothic" w:hAnsi="Century Gothic"/>
          <w:b/>
          <w:sz w:val="22"/>
          <w:szCs w:val="22"/>
        </w:rPr>
      </w:pPr>
    </w:p>
    <w:p w14:paraId="336A58D0">
      <w:pPr>
        <w:pStyle w:val="65"/>
        <w:ind w:left="360"/>
        <w:rPr>
          <w:rFonts w:ascii="Century Gothic" w:hAnsi="Century Gothic"/>
          <w:b/>
          <w:sz w:val="22"/>
          <w:szCs w:val="22"/>
        </w:rPr>
      </w:pPr>
    </w:p>
    <w:p w14:paraId="11DDF191">
      <w:pPr>
        <w:pStyle w:val="65"/>
        <w:ind w:left="360"/>
        <w:rPr>
          <w:rFonts w:ascii="Century Gothic" w:hAnsi="Century Gothic"/>
          <w:b/>
          <w:sz w:val="22"/>
          <w:szCs w:val="22"/>
        </w:rPr>
      </w:pPr>
    </w:p>
    <w:p w14:paraId="0A88FE87">
      <w:pPr>
        <w:pStyle w:val="65"/>
        <w:ind w:left="360"/>
        <w:rPr>
          <w:rFonts w:ascii="Century Gothic" w:hAnsi="Century Gothic"/>
          <w:b/>
          <w:sz w:val="22"/>
          <w:szCs w:val="22"/>
        </w:rPr>
      </w:pPr>
    </w:p>
    <w:p w14:paraId="44993305">
      <w:pPr>
        <w:pStyle w:val="65"/>
        <w:ind w:left="360"/>
        <w:rPr>
          <w:rFonts w:ascii="Century Gothic" w:hAnsi="Century Gothic"/>
          <w:b/>
          <w:sz w:val="22"/>
          <w:szCs w:val="22"/>
        </w:rPr>
      </w:pPr>
    </w:p>
    <w:p w14:paraId="44472693">
      <w:pPr>
        <w:pStyle w:val="65"/>
        <w:ind w:left="360"/>
        <w:rPr>
          <w:rFonts w:ascii="Century Gothic" w:hAnsi="Century Gothic"/>
          <w:b/>
          <w:sz w:val="22"/>
          <w:szCs w:val="22"/>
        </w:rPr>
      </w:pPr>
    </w:p>
    <w:p w14:paraId="789FB47C">
      <w:pPr>
        <w:pStyle w:val="65"/>
        <w:ind w:left="360"/>
        <w:rPr>
          <w:rFonts w:ascii="Century Gothic" w:hAnsi="Century Gothic"/>
          <w:b/>
          <w:sz w:val="22"/>
          <w:szCs w:val="22"/>
        </w:rPr>
      </w:pPr>
    </w:p>
    <w:p w14:paraId="21DBE625">
      <w:pPr>
        <w:pStyle w:val="65"/>
        <w:ind w:left="360"/>
        <w:rPr>
          <w:rFonts w:ascii="Century Gothic" w:hAnsi="Century Gothic"/>
          <w:b/>
          <w:sz w:val="22"/>
          <w:szCs w:val="22"/>
        </w:rPr>
      </w:pPr>
    </w:p>
    <w:p w14:paraId="0C18DEE7">
      <w:pPr>
        <w:pStyle w:val="65"/>
        <w:ind w:left="360"/>
        <w:rPr>
          <w:rFonts w:ascii="Century Gothic" w:hAnsi="Century Gothic"/>
          <w:b/>
          <w:sz w:val="22"/>
          <w:szCs w:val="22"/>
        </w:rPr>
      </w:pPr>
    </w:p>
    <w:p w14:paraId="312C0602">
      <w:pPr>
        <w:pStyle w:val="65"/>
        <w:ind w:left="360"/>
        <w:rPr>
          <w:rFonts w:ascii="Century Gothic" w:hAnsi="Century Gothic"/>
          <w:b/>
          <w:sz w:val="22"/>
          <w:szCs w:val="22"/>
        </w:rPr>
      </w:pPr>
    </w:p>
    <w:p w14:paraId="00EF3626">
      <w:pPr>
        <w:pStyle w:val="65"/>
        <w:ind w:left="360"/>
        <w:rPr>
          <w:rFonts w:ascii="Century Gothic" w:hAnsi="Century Gothic"/>
          <w:b/>
          <w:sz w:val="22"/>
          <w:szCs w:val="22"/>
        </w:rPr>
      </w:pPr>
    </w:p>
    <w:p w14:paraId="73FD04DA">
      <w:pPr>
        <w:pStyle w:val="65"/>
        <w:ind w:left="360"/>
        <w:rPr>
          <w:rFonts w:ascii="Century Gothic" w:hAnsi="Century Gothic"/>
          <w:b/>
          <w:sz w:val="22"/>
          <w:szCs w:val="22"/>
        </w:rPr>
      </w:pPr>
    </w:p>
    <w:p w14:paraId="4CB0101D">
      <w:pPr>
        <w:pStyle w:val="65"/>
        <w:ind w:left="360"/>
        <w:rPr>
          <w:rFonts w:ascii="Century Gothic" w:hAnsi="Century Gothic"/>
          <w:b/>
          <w:sz w:val="22"/>
          <w:szCs w:val="22"/>
        </w:rPr>
      </w:pPr>
    </w:p>
    <w:p w14:paraId="196703BA">
      <w:pPr>
        <w:pStyle w:val="65"/>
        <w:ind w:left="360"/>
        <w:rPr>
          <w:rFonts w:ascii="Century Gothic" w:hAnsi="Century Gothic"/>
          <w:b/>
          <w:sz w:val="22"/>
          <w:szCs w:val="22"/>
        </w:rPr>
      </w:pPr>
    </w:p>
    <w:p w14:paraId="2006AC39">
      <w:pPr>
        <w:pStyle w:val="65"/>
        <w:ind w:left="360"/>
        <w:rPr>
          <w:rFonts w:ascii="Century Gothic" w:hAnsi="Century Gothic"/>
          <w:b/>
          <w:sz w:val="22"/>
          <w:szCs w:val="22"/>
        </w:rPr>
      </w:pPr>
    </w:p>
    <w:p w14:paraId="3B09BC48">
      <w:pPr>
        <w:pStyle w:val="65"/>
        <w:ind w:left="360"/>
        <w:rPr>
          <w:rFonts w:ascii="Century Gothic" w:hAnsi="Century Gothic"/>
          <w:b/>
          <w:sz w:val="22"/>
          <w:szCs w:val="22"/>
        </w:rPr>
      </w:pPr>
    </w:p>
    <w:p w14:paraId="7F88EB1F">
      <w:pPr>
        <w:pStyle w:val="65"/>
        <w:ind w:left="360"/>
        <w:rPr>
          <w:rFonts w:ascii="Century Gothic" w:hAnsi="Century Gothic"/>
          <w:b/>
          <w:sz w:val="22"/>
          <w:szCs w:val="22"/>
        </w:rPr>
      </w:pPr>
    </w:p>
    <w:p w14:paraId="42B103B7">
      <w:pPr>
        <w:pStyle w:val="65"/>
        <w:ind w:left="360"/>
        <w:rPr>
          <w:rFonts w:ascii="Century Gothic" w:hAnsi="Century Gothic"/>
          <w:b/>
          <w:sz w:val="22"/>
          <w:szCs w:val="22"/>
        </w:rPr>
      </w:pPr>
    </w:p>
    <w:p w14:paraId="1BE85C46">
      <w:pPr>
        <w:pStyle w:val="65"/>
        <w:ind w:left="360"/>
        <w:rPr>
          <w:rFonts w:ascii="Century Gothic" w:hAnsi="Century Gothic"/>
          <w:b/>
          <w:sz w:val="22"/>
          <w:szCs w:val="22"/>
        </w:rPr>
      </w:pPr>
    </w:p>
    <w:p w14:paraId="3C28A646">
      <w:pPr>
        <w:pStyle w:val="65"/>
        <w:ind w:left="360"/>
        <w:rPr>
          <w:rFonts w:ascii="Century Gothic" w:hAnsi="Century Gothic"/>
          <w:b/>
          <w:sz w:val="22"/>
          <w:szCs w:val="22"/>
        </w:rPr>
      </w:pPr>
    </w:p>
    <w:p w14:paraId="7E7F91C9">
      <w:pPr>
        <w:pStyle w:val="65"/>
        <w:ind w:left="360"/>
        <w:rPr>
          <w:rFonts w:ascii="Century Gothic" w:hAnsi="Century Gothic"/>
          <w:b/>
          <w:sz w:val="22"/>
          <w:szCs w:val="22"/>
        </w:rPr>
      </w:pPr>
    </w:p>
    <w:p w14:paraId="7F08BB5C">
      <w:pPr>
        <w:pStyle w:val="65"/>
        <w:ind w:left="360"/>
        <w:rPr>
          <w:rFonts w:ascii="Century Gothic" w:hAnsi="Century Gothic"/>
          <w:b/>
          <w:sz w:val="22"/>
          <w:szCs w:val="22"/>
        </w:rPr>
      </w:pPr>
    </w:p>
    <w:p w14:paraId="0D08B5A1">
      <w:pPr>
        <w:pStyle w:val="65"/>
        <w:ind w:left="360"/>
        <w:rPr>
          <w:rFonts w:ascii="Century Gothic" w:hAnsi="Century Gothic"/>
          <w:b/>
          <w:sz w:val="22"/>
          <w:szCs w:val="22"/>
        </w:rPr>
      </w:pPr>
    </w:p>
    <w:p w14:paraId="222CA90C">
      <w:pPr>
        <w:pStyle w:val="65"/>
        <w:ind w:left="360"/>
        <w:rPr>
          <w:rFonts w:ascii="Century Gothic" w:hAnsi="Century Gothic"/>
          <w:b/>
          <w:sz w:val="22"/>
          <w:szCs w:val="22"/>
        </w:rPr>
      </w:pPr>
    </w:p>
    <w:p w14:paraId="265DF6BF">
      <w:pPr>
        <w:pStyle w:val="65"/>
        <w:ind w:left="360"/>
        <w:rPr>
          <w:rFonts w:ascii="Century Gothic" w:hAnsi="Century Gothic"/>
          <w:b/>
          <w:sz w:val="22"/>
          <w:szCs w:val="22"/>
        </w:rPr>
      </w:pPr>
    </w:p>
    <w:p w14:paraId="7DCFB880">
      <w:pPr>
        <w:pStyle w:val="65"/>
        <w:ind w:left="360"/>
        <w:rPr>
          <w:rFonts w:ascii="Century Gothic" w:hAnsi="Century Gothic"/>
          <w:b/>
          <w:sz w:val="22"/>
          <w:szCs w:val="22"/>
        </w:rPr>
      </w:pPr>
    </w:p>
    <w:p w14:paraId="24E612C5">
      <w:pPr>
        <w:pStyle w:val="65"/>
        <w:ind w:left="360"/>
        <w:rPr>
          <w:rFonts w:ascii="Century Gothic" w:hAnsi="Century Gothic"/>
          <w:b/>
          <w:sz w:val="22"/>
          <w:szCs w:val="22"/>
        </w:rPr>
      </w:pPr>
    </w:p>
    <w:p w14:paraId="7FF74C98">
      <w:pPr>
        <w:pStyle w:val="65"/>
        <w:ind w:left="360"/>
        <w:rPr>
          <w:rFonts w:ascii="Century Gothic" w:hAnsi="Century Gothic"/>
          <w:b/>
          <w:sz w:val="22"/>
          <w:szCs w:val="22"/>
        </w:rPr>
      </w:pPr>
    </w:p>
    <w:p w14:paraId="52398639">
      <w:pPr>
        <w:pStyle w:val="65"/>
        <w:ind w:left="360"/>
        <w:rPr>
          <w:rFonts w:ascii="Century Gothic" w:hAnsi="Century Gothic"/>
          <w:b/>
          <w:sz w:val="22"/>
          <w:szCs w:val="22"/>
        </w:rPr>
      </w:pPr>
    </w:p>
    <w:p w14:paraId="589AF9C5">
      <w:pPr>
        <w:pStyle w:val="65"/>
        <w:numPr>
          <w:ilvl w:val="1"/>
          <w:numId w:val="103"/>
        </w:numPr>
        <w:rPr>
          <w:rFonts w:ascii="Century Gothic" w:hAnsi="Century Gothic"/>
          <w:b/>
          <w:sz w:val="22"/>
          <w:szCs w:val="22"/>
        </w:rPr>
      </w:pPr>
      <w:r>
        <w:rPr>
          <w:rFonts w:ascii="Century Gothic" w:hAnsi="Century Gothic"/>
          <w:b/>
          <w:sz w:val="22"/>
          <w:szCs w:val="22"/>
        </w:rPr>
        <w:t>Control a transacciones en efectivo</w:t>
      </w:r>
    </w:p>
    <w:p w14:paraId="0CA6E04D"/>
    <w:p w14:paraId="06909F84">
      <w:pPr>
        <w:pStyle w:val="86"/>
        <w:jc w:val="both"/>
        <w:rPr>
          <w:rFonts w:ascii="Century Gothic" w:hAnsi="Century Gothic" w:cs="Arial"/>
          <w:sz w:val="22"/>
          <w:szCs w:val="22"/>
        </w:rPr>
      </w:pPr>
      <w:r>
        <w:rPr>
          <w:rFonts w:ascii="Century Gothic" w:hAnsi="Century Gothic" w:cs="Calibri"/>
          <w:sz w:val="22"/>
          <w:szCs w:val="22"/>
        </w:rPr>
        <w:t xml:space="preserve">La  Entidad </w:t>
      </w:r>
      <w:r>
        <w:rPr>
          <w:rFonts w:ascii="Century Gothic" w:hAnsi="Century Gothic" w:cs="Arial"/>
          <w:sz w:val="22"/>
          <w:szCs w:val="22"/>
        </w:rPr>
        <w:t>solicitará el diligenciamiento y firma del siguiente formulario, a los asociados y relacionados contractuales que efectúen transacciones en efectivo iguales o superiores a 10 millones de pesos. A fin de efectuar el respectivo reporte a la Unidad de Información y Análisis Financiero - UIAF.</w:t>
      </w:r>
    </w:p>
    <w:p w14:paraId="5718C840">
      <w:pPr>
        <w:pStyle w:val="86"/>
        <w:jc w:val="both"/>
        <w:rPr>
          <w:rFonts w:ascii="Century Gothic" w:hAnsi="Century Gothic" w:cs="Arial"/>
          <w:sz w:val="22"/>
          <w:szCs w:val="22"/>
        </w:rPr>
      </w:pPr>
    </w:p>
    <w:p w14:paraId="4C6CDA66">
      <w:pPr>
        <w:rPr>
          <w:lang w:val="es-ES"/>
        </w:rPr>
      </w:pPr>
      <w:r>
        <w:rPr>
          <w:lang w:eastAsia="es-CO"/>
        </w:rPr>
        <w:drawing>
          <wp:anchor distT="0" distB="0" distL="114300" distR="114300" simplePos="0" relativeHeight="251678720" behindDoc="1" locked="0" layoutInCell="1" allowOverlap="1">
            <wp:simplePos x="0" y="0"/>
            <wp:positionH relativeFrom="column">
              <wp:posOffset>-127635</wp:posOffset>
            </wp:positionH>
            <wp:positionV relativeFrom="paragraph">
              <wp:posOffset>74930</wp:posOffset>
            </wp:positionV>
            <wp:extent cx="6086475" cy="3735070"/>
            <wp:effectExtent l="0" t="0" r="9525" b="0"/>
            <wp:wrapNone/>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n 81"/>
                    <pic:cNvPicPr>
                      <a:picLocks noChangeAspect="1"/>
                    </pic:cNvPicPr>
                  </pic:nvPicPr>
                  <pic:blipFill>
                    <a:blip r:embed="rId20" cstate="print">
                      <a:extLst>
                        <a:ext uri="{28A0092B-C50C-407E-A947-70E740481C1C}">
                          <a14:useLocalDpi xmlns:a14="http://schemas.microsoft.com/office/drawing/2010/main" val="0"/>
                        </a:ext>
                      </a:extLst>
                    </a:blip>
                    <a:srcRect l="7128" t="19535" r="29566" b="8636"/>
                    <a:stretch>
                      <a:fillRect/>
                    </a:stretch>
                  </pic:blipFill>
                  <pic:spPr>
                    <a:xfrm>
                      <a:off x="0" y="0"/>
                      <a:ext cx="6086570" cy="3735128"/>
                    </a:xfrm>
                    <a:prstGeom prst="rect">
                      <a:avLst/>
                    </a:prstGeom>
                    <a:ln>
                      <a:noFill/>
                    </a:ln>
                  </pic:spPr>
                </pic:pic>
              </a:graphicData>
            </a:graphic>
          </wp:anchor>
        </w:drawing>
      </w:r>
    </w:p>
    <w:p w14:paraId="6AD145BB"/>
    <w:p w14:paraId="796D073F"/>
    <w:p w14:paraId="66BC06E0"/>
    <w:p w14:paraId="6830C263"/>
    <w:p w14:paraId="319E503E"/>
    <w:p w14:paraId="2179332A"/>
    <w:p w14:paraId="41ACA787"/>
    <w:p w14:paraId="17A3B4A5"/>
    <w:p w14:paraId="7E55E62B"/>
    <w:p w14:paraId="406C03B8"/>
    <w:p w14:paraId="0AD78CAE"/>
    <w:p w14:paraId="0A3C92BB"/>
    <w:p w14:paraId="50D5C728"/>
    <w:p w14:paraId="34461E5A"/>
    <w:p w14:paraId="01072DDA"/>
    <w:p w14:paraId="0B76BECB"/>
    <w:p w14:paraId="5B64203C">
      <w:pPr>
        <w:pStyle w:val="3"/>
        <w:ind w:left="360"/>
        <w:rPr>
          <w:rFonts w:ascii="Century Gothic" w:hAnsi="Century Gothic"/>
          <w:sz w:val="22"/>
          <w:szCs w:val="22"/>
        </w:rPr>
      </w:pPr>
    </w:p>
    <w:p w14:paraId="2B359263"/>
    <w:p w14:paraId="413DABB8"/>
    <w:p w14:paraId="75F17DD1"/>
    <w:p w14:paraId="4C74C22C"/>
    <w:p w14:paraId="3649E694"/>
    <w:p w14:paraId="4C1F9860"/>
    <w:p w14:paraId="73258831"/>
    <w:p w14:paraId="01E6C088"/>
    <w:p w14:paraId="0C74D748"/>
    <w:p w14:paraId="7973AFA2"/>
    <w:p w14:paraId="6625DFD0"/>
    <w:p w14:paraId="560816F0"/>
    <w:p w14:paraId="0F64D001"/>
    <w:p w14:paraId="298C6F89"/>
    <w:p w14:paraId="50AC2845"/>
    <w:p w14:paraId="094AC63A">
      <w:pPr>
        <w:pStyle w:val="65"/>
        <w:numPr>
          <w:ilvl w:val="1"/>
          <w:numId w:val="103"/>
        </w:numPr>
        <w:rPr>
          <w:rFonts w:ascii="Century Gothic" w:hAnsi="Century Gothic"/>
          <w:b/>
          <w:sz w:val="22"/>
          <w:szCs w:val="22"/>
        </w:rPr>
      </w:pPr>
      <w:r>
        <w:rPr>
          <w:rFonts w:ascii="Century Gothic" w:hAnsi="Century Gothic"/>
          <w:b/>
          <w:sz w:val="22"/>
          <w:szCs w:val="22"/>
        </w:rPr>
        <w:t>Reporte Interno de Operación Inusual</w:t>
      </w:r>
    </w:p>
    <w:p w14:paraId="67F61691"/>
    <w:p w14:paraId="62061B5C">
      <w:pPr>
        <w:pStyle w:val="86"/>
        <w:jc w:val="both"/>
        <w:rPr>
          <w:rFonts w:ascii="Century Gothic" w:hAnsi="Century Gothic" w:cs="Arial"/>
          <w:sz w:val="22"/>
          <w:szCs w:val="22"/>
        </w:rPr>
      </w:pPr>
      <w:r>
        <w:rPr>
          <w:rFonts w:ascii="Century Gothic" w:hAnsi="Century Gothic" w:cs="Calibri"/>
          <w:sz w:val="22"/>
          <w:szCs w:val="22"/>
        </w:rPr>
        <w:t xml:space="preserve">La  Entidad </w:t>
      </w:r>
      <w:r>
        <w:rPr>
          <w:rFonts w:ascii="Century Gothic" w:hAnsi="Century Gothic" w:cs="Arial"/>
          <w:sz w:val="22"/>
          <w:szCs w:val="22"/>
        </w:rPr>
        <w:t>solicitará el diligenciamiento y firma del siguiente formulario, a los empleados y/o colaboradores que detecten operaciones inusuales, en el desempeño de sus funciones o en la aplicación de los procedimientos de prevención y control en las operaciones realizadas por asociados/clientes. Dicho formulario al igual que las evidencias que sirvieron de base para documentar la operación inusual,  serán remitidos al oficial de cumplimiento a fin de que éste pueda evaluar la inusualidad y adelantar los procedimientos a que haya lugar.</w:t>
      </w:r>
    </w:p>
    <w:p w14:paraId="7791B1EF">
      <w:r>
        <w:rPr>
          <w:lang w:eastAsia="es-CO"/>
        </w:rPr>
        <w:drawing>
          <wp:anchor distT="0" distB="0" distL="114300" distR="114300" simplePos="0" relativeHeight="251679744" behindDoc="1" locked="0" layoutInCell="1" allowOverlap="1">
            <wp:simplePos x="0" y="0"/>
            <wp:positionH relativeFrom="column">
              <wp:posOffset>-41910</wp:posOffset>
            </wp:positionH>
            <wp:positionV relativeFrom="paragraph">
              <wp:posOffset>179705</wp:posOffset>
            </wp:positionV>
            <wp:extent cx="5953125" cy="5838825"/>
            <wp:effectExtent l="0" t="0" r="9525" b="9525"/>
            <wp:wrapNone/>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n 82"/>
                    <pic:cNvPicPr>
                      <a:picLocks noChangeAspect="1"/>
                    </pic:cNvPicPr>
                  </pic:nvPicPr>
                  <pic:blipFill>
                    <a:blip r:embed="rId21">
                      <a:extLst>
                        <a:ext uri="{28A0092B-C50C-407E-A947-70E740481C1C}">
                          <a14:useLocalDpi xmlns:a14="http://schemas.microsoft.com/office/drawing/2010/main" val="0"/>
                        </a:ext>
                      </a:extLst>
                    </a:blip>
                    <a:srcRect l="34493" t="18933" r="34299" b="7433"/>
                    <a:stretch>
                      <a:fillRect/>
                    </a:stretch>
                  </pic:blipFill>
                  <pic:spPr>
                    <a:xfrm>
                      <a:off x="0" y="0"/>
                      <a:ext cx="5953125" cy="5838825"/>
                    </a:xfrm>
                    <a:prstGeom prst="rect">
                      <a:avLst/>
                    </a:prstGeom>
                    <a:ln>
                      <a:noFill/>
                    </a:ln>
                  </pic:spPr>
                </pic:pic>
              </a:graphicData>
            </a:graphic>
          </wp:anchor>
        </w:drawing>
      </w:r>
    </w:p>
    <w:p w14:paraId="51843980"/>
    <w:p w14:paraId="6216CFD0"/>
    <w:p w14:paraId="202F479D"/>
    <w:p w14:paraId="50DB1ED6"/>
    <w:p w14:paraId="013AD88E"/>
    <w:p w14:paraId="499266C6"/>
    <w:p w14:paraId="107D93B3"/>
    <w:p w14:paraId="3C97E9D5"/>
    <w:p w14:paraId="2AF265E0"/>
    <w:p w14:paraId="303AFF85"/>
    <w:p w14:paraId="62694D2F"/>
    <w:p w14:paraId="7CC2E2EE"/>
    <w:p w14:paraId="2B6419FB"/>
    <w:p w14:paraId="2FBDCCAD"/>
    <w:p w14:paraId="1F61CFF5"/>
    <w:p w14:paraId="0673B772"/>
    <w:p w14:paraId="20514C8C"/>
    <w:p w14:paraId="69F25490"/>
    <w:p w14:paraId="10A2F544"/>
    <w:p w14:paraId="56A7DE82"/>
    <w:p w14:paraId="011012E6"/>
    <w:p w14:paraId="60B1A3B8"/>
    <w:p w14:paraId="19E2C375"/>
    <w:p w14:paraId="2B7116E1"/>
    <w:p w14:paraId="2C877222"/>
    <w:p w14:paraId="63324543"/>
    <w:p w14:paraId="1A97FD0D"/>
    <w:p w14:paraId="53D389CD"/>
    <w:p w14:paraId="755A7282"/>
    <w:p w14:paraId="29E7DACA"/>
    <w:p w14:paraId="2ECAB94F"/>
    <w:p w14:paraId="19D3AF0B">
      <w:pPr>
        <w:pStyle w:val="65"/>
        <w:numPr>
          <w:ilvl w:val="1"/>
          <w:numId w:val="103"/>
        </w:numPr>
        <w:rPr>
          <w:rFonts w:ascii="Century Gothic" w:hAnsi="Century Gothic"/>
          <w:b/>
          <w:sz w:val="22"/>
          <w:szCs w:val="22"/>
        </w:rPr>
      </w:pPr>
      <w:r>
        <w:rPr>
          <w:rFonts w:ascii="Century Gothic" w:hAnsi="Century Gothic"/>
          <w:b/>
          <w:sz w:val="22"/>
          <w:szCs w:val="22"/>
        </w:rPr>
        <w:t>Reporte de Operación Sospechosa - ROS</w:t>
      </w:r>
    </w:p>
    <w:p w14:paraId="1EC2CEA1">
      <w:pPr>
        <w:pStyle w:val="86"/>
        <w:jc w:val="both"/>
        <w:rPr>
          <w:rFonts w:ascii="Century Gothic" w:hAnsi="Century Gothic" w:cs="Calibri"/>
          <w:sz w:val="22"/>
          <w:szCs w:val="22"/>
          <w:lang w:val="es-ES"/>
        </w:rPr>
      </w:pPr>
    </w:p>
    <w:p w14:paraId="50F73CFA">
      <w:pPr>
        <w:pStyle w:val="86"/>
        <w:jc w:val="both"/>
        <w:rPr>
          <w:rFonts w:ascii="Century Gothic" w:hAnsi="Century Gothic" w:cs="Arial"/>
          <w:sz w:val="22"/>
          <w:szCs w:val="22"/>
        </w:rPr>
      </w:pPr>
      <w:r>
        <w:rPr>
          <w:rFonts w:ascii="Century Gothic" w:hAnsi="Century Gothic" w:cs="Calibri"/>
          <w:sz w:val="22"/>
          <w:szCs w:val="22"/>
        </w:rPr>
        <w:t xml:space="preserve">La  Entidad </w:t>
      </w:r>
      <w:r>
        <w:rPr>
          <w:rFonts w:ascii="Century Gothic" w:hAnsi="Century Gothic" w:cs="Arial"/>
          <w:sz w:val="22"/>
          <w:szCs w:val="22"/>
        </w:rPr>
        <w:t xml:space="preserve">solicitará el diligenciamiento del siguiente formulario, a los empleados y/o colaboradores que detecten operaciones sospechosas, en el desempeño de sus funciones o en la aplicación de los procedimientos de prevención y control en las operaciones realizadas por asociados/clientes. Dicho formulario al igual que las evidencias que sirvieron de base para documentar la operación sospechosa,  serán remitidos de forma inmediata al oficial de cumplimiento a fin de que éste pueda evaluar dicha información y adelante el proceso de  reporte inmediato a la UIAF. </w:t>
      </w:r>
      <w:r>
        <w:rPr>
          <w:rFonts w:ascii="Century Gothic" w:hAnsi="Century Gothic"/>
          <w:sz w:val="22"/>
          <w:szCs w:val="22"/>
        </w:rPr>
        <w:t xml:space="preserve">El reporte debe ser institucional y por lo tanto no se requiere que esté suscrito por funcionario alguno de la entidad. </w:t>
      </w:r>
    </w:p>
    <w:p w14:paraId="669DFD8F">
      <w:r>
        <w:rPr>
          <w:lang w:eastAsia="es-CO"/>
        </w:rPr>
        <w:drawing>
          <wp:anchor distT="0" distB="0" distL="114300" distR="114300" simplePos="0" relativeHeight="251665408" behindDoc="1" locked="0" layoutInCell="1" allowOverlap="1">
            <wp:simplePos x="0" y="0"/>
            <wp:positionH relativeFrom="column">
              <wp:posOffset>-32385</wp:posOffset>
            </wp:positionH>
            <wp:positionV relativeFrom="paragraph">
              <wp:posOffset>168910</wp:posOffset>
            </wp:positionV>
            <wp:extent cx="6000115" cy="5781675"/>
            <wp:effectExtent l="0" t="0" r="635" b="0"/>
            <wp:wrapNone/>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n 66"/>
                    <pic:cNvPicPr>
                      <a:picLocks noChangeAspect="1"/>
                    </pic:cNvPicPr>
                  </pic:nvPicPr>
                  <pic:blipFill>
                    <a:blip r:embed="rId22" cstate="print">
                      <a:extLst>
                        <a:ext uri="{28A0092B-C50C-407E-A947-70E740481C1C}">
                          <a14:useLocalDpi xmlns:a14="http://schemas.microsoft.com/office/drawing/2010/main" val="0"/>
                        </a:ext>
                      </a:extLst>
                    </a:blip>
                    <a:srcRect l="26137" t="17131" r="31602" b="4428"/>
                    <a:stretch>
                      <a:fillRect/>
                    </a:stretch>
                  </pic:blipFill>
                  <pic:spPr>
                    <a:xfrm>
                      <a:off x="0" y="0"/>
                      <a:ext cx="6000798" cy="5782325"/>
                    </a:xfrm>
                    <a:prstGeom prst="rect">
                      <a:avLst/>
                    </a:prstGeom>
                    <a:ln>
                      <a:noFill/>
                    </a:ln>
                  </pic:spPr>
                </pic:pic>
              </a:graphicData>
            </a:graphic>
          </wp:anchor>
        </w:drawing>
      </w:r>
    </w:p>
    <w:p w14:paraId="561534FC"/>
    <w:p w14:paraId="069E7FD1"/>
    <w:p w14:paraId="099A275B"/>
    <w:p w14:paraId="79E48AE6"/>
    <w:p w14:paraId="4FB18646"/>
    <w:p w14:paraId="68791AD9"/>
    <w:p w14:paraId="0907D47F"/>
    <w:p w14:paraId="0C6FC190"/>
    <w:p w14:paraId="36617858"/>
    <w:p w14:paraId="5452A94D"/>
    <w:p w14:paraId="0235C6F1"/>
    <w:p w14:paraId="641DC877"/>
    <w:p w14:paraId="65A070EC"/>
    <w:p w14:paraId="5718E998"/>
    <w:p w14:paraId="4EE24AD8">
      <w:pPr>
        <w:rPr>
          <w:lang w:eastAsia="es-CO"/>
        </w:rPr>
      </w:pPr>
    </w:p>
    <w:p w14:paraId="5A5E2A7E">
      <w:pPr>
        <w:rPr>
          <w:lang w:eastAsia="es-CO"/>
        </w:rPr>
      </w:pPr>
    </w:p>
    <w:p w14:paraId="6990FE6F">
      <w:pPr>
        <w:rPr>
          <w:lang w:eastAsia="es-CO"/>
        </w:rPr>
      </w:pPr>
    </w:p>
    <w:p w14:paraId="7A7DE048">
      <w:pPr>
        <w:rPr>
          <w:lang w:eastAsia="es-CO"/>
        </w:rPr>
      </w:pPr>
    </w:p>
    <w:p w14:paraId="4A1222F1">
      <w:pPr>
        <w:rPr>
          <w:lang w:eastAsia="es-CO"/>
        </w:rPr>
      </w:pPr>
    </w:p>
    <w:p w14:paraId="34D349E6">
      <w:pPr>
        <w:rPr>
          <w:lang w:eastAsia="es-CO"/>
        </w:rPr>
      </w:pPr>
    </w:p>
    <w:p w14:paraId="28C6C7EF">
      <w:pPr>
        <w:rPr>
          <w:lang w:eastAsia="es-CO"/>
        </w:rPr>
      </w:pPr>
    </w:p>
    <w:p w14:paraId="6CF0EB52">
      <w:pPr>
        <w:rPr>
          <w:lang w:eastAsia="es-CO"/>
        </w:rPr>
      </w:pPr>
    </w:p>
    <w:p w14:paraId="71809E46">
      <w:pPr>
        <w:rPr>
          <w:lang w:eastAsia="es-CO"/>
        </w:rPr>
      </w:pPr>
    </w:p>
    <w:p w14:paraId="6E44DC70">
      <w:pPr>
        <w:rPr>
          <w:lang w:eastAsia="es-CO"/>
        </w:rPr>
      </w:pPr>
    </w:p>
    <w:p w14:paraId="62C99C03">
      <w:pPr>
        <w:rPr>
          <w:lang w:eastAsia="es-CO"/>
        </w:rPr>
      </w:pPr>
    </w:p>
    <w:p w14:paraId="6B730B82">
      <w:pPr>
        <w:rPr>
          <w:lang w:eastAsia="es-CO"/>
        </w:rPr>
      </w:pPr>
    </w:p>
    <w:p w14:paraId="378D7410">
      <w:pPr>
        <w:rPr>
          <w:lang w:eastAsia="es-CO"/>
        </w:rPr>
      </w:pPr>
    </w:p>
    <w:p w14:paraId="48AA4AC6">
      <w:pPr>
        <w:rPr>
          <w:lang w:eastAsia="es-CO"/>
        </w:rPr>
      </w:pPr>
    </w:p>
    <w:p w14:paraId="48037A47">
      <w:pPr>
        <w:rPr>
          <w:lang w:eastAsia="es-CO"/>
        </w:rPr>
      </w:pPr>
    </w:p>
    <w:p w14:paraId="1F987D19">
      <w:r>
        <w:rPr>
          <w:lang w:eastAsia="es-CO"/>
        </w:rPr>
        <w:drawing>
          <wp:anchor distT="0" distB="0" distL="114300" distR="114300" simplePos="0" relativeHeight="251666432" behindDoc="1" locked="0" layoutInCell="1" allowOverlap="1">
            <wp:simplePos x="0" y="0"/>
            <wp:positionH relativeFrom="column">
              <wp:posOffset>-3810</wp:posOffset>
            </wp:positionH>
            <wp:positionV relativeFrom="paragraph">
              <wp:posOffset>-71120</wp:posOffset>
            </wp:positionV>
            <wp:extent cx="6029325" cy="7524750"/>
            <wp:effectExtent l="0" t="0" r="0" b="0"/>
            <wp:wrapNone/>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n 67"/>
                    <pic:cNvPicPr>
                      <a:picLocks noChangeAspect="1"/>
                    </pic:cNvPicPr>
                  </pic:nvPicPr>
                  <pic:blipFill>
                    <a:blip r:embed="rId23" cstate="print">
                      <a:extLst>
                        <a:ext uri="{28A0092B-C50C-407E-A947-70E740481C1C}">
                          <a14:useLocalDpi xmlns:a14="http://schemas.microsoft.com/office/drawing/2010/main" val="0"/>
                        </a:ext>
                      </a:extLst>
                    </a:blip>
                    <a:srcRect l="28343" t="16229" r="33130" b="4128"/>
                    <a:stretch>
                      <a:fillRect/>
                    </a:stretch>
                  </pic:blipFill>
                  <pic:spPr>
                    <a:xfrm>
                      <a:off x="0" y="0"/>
                      <a:ext cx="6035655" cy="7532970"/>
                    </a:xfrm>
                    <a:prstGeom prst="rect">
                      <a:avLst/>
                    </a:prstGeom>
                    <a:ln>
                      <a:noFill/>
                    </a:ln>
                  </pic:spPr>
                </pic:pic>
              </a:graphicData>
            </a:graphic>
          </wp:anchor>
        </w:drawing>
      </w:r>
    </w:p>
    <w:p w14:paraId="3803F243"/>
    <w:p w14:paraId="0A71C770"/>
    <w:p w14:paraId="49FCD806"/>
    <w:p w14:paraId="03F82AD6"/>
    <w:p w14:paraId="6290003F"/>
    <w:p w14:paraId="49666D0B"/>
    <w:p w14:paraId="79721802"/>
    <w:p w14:paraId="290FFCD7"/>
    <w:p w14:paraId="65637E2C"/>
    <w:p w14:paraId="76526941"/>
    <w:p w14:paraId="71A0A2FE"/>
    <w:p w14:paraId="3A99F052"/>
    <w:p w14:paraId="3EA551FB"/>
    <w:p w14:paraId="6746DC01"/>
    <w:p w14:paraId="2472F9B1"/>
    <w:p w14:paraId="69E1C148"/>
    <w:p w14:paraId="14C0DA06"/>
    <w:p w14:paraId="4578DD1D"/>
    <w:p w14:paraId="48C77F92"/>
    <w:p w14:paraId="2875DC4E"/>
    <w:p w14:paraId="4C917520"/>
    <w:p w14:paraId="03472FD6"/>
    <w:p w14:paraId="5D02C4BC"/>
    <w:p w14:paraId="4E424FA4"/>
    <w:p w14:paraId="59508C88">
      <w:pPr>
        <w:rPr>
          <w:lang w:eastAsia="es-CO"/>
        </w:rPr>
      </w:pPr>
    </w:p>
    <w:p w14:paraId="022C15AD">
      <w:pPr>
        <w:rPr>
          <w:lang w:eastAsia="es-CO"/>
        </w:rPr>
      </w:pPr>
    </w:p>
    <w:p w14:paraId="70484046">
      <w:pPr>
        <w:rPr>
          <w:lang w:eastAsia="es-CO"/>
        </w:rPr>
      </w:pPr>
    </w:p>
    <w:p w14:paraId="1ED6A0A4">
      <w:pPr>
        <w:rPr>
          <w:lang w:eastAsia="es-CO"/>
        </w:rPr>
      </w:pPr>
    </w:p>
    <w:p w14:paraId="2ADD6AA7">
      <w:pPr>
        <w:rPr>
          <w:lang w:eastAsia="es-CO"/>
        </w:rPr>
      </w:pPr>
    </w:p>
    <w:p w14:paraId="0B514F8E">
      <w:pPr>
        <w:rPr>
          <w:lang w:eastAsia="es-CO"/>
        </w:rPr>
      </w:pPr>
    </w:p>
    <w:p w14:paraId="4965A79E">
      <w:pPr>
        <w:rPr>
          <w:lang w:eastAsia="es-CO"/>
        </w:rPr>
      </w:pPr>
    </w:p>
    <w:p w14:paraId="5BDC389B">
      <w:pPr>
        <w:rPr>
          <w:lang w:eastAsia="es-CO"/>
        </w:rPr>
      </w:pPr>
    </w:p>
    <w:p w14:paraId="2A7474D7">
      <w:pPr>
        <w:rPr>
          <w:lang w:eastAsia="es-CO"/>
        </w:rPr>
      </w:pPr>
    </w:p>
    <w:p w14:paraId="50B33079">
      <w:pPr>
        <w:rPr>
          <w:lang w:eastAsia="es-CO"/>
        </w:rPr>
      </w:pPr>
    </w:p>
    <w:p w14:paraId="05578008">
      <w:pPr>
        <w:rPr>
          <w:lang w:eastAsia="es-CO"/>
        </w:rPr>
      </w:pPr>
    </w:p>
    <w:p w14:paraId="08D75FDE">
      <w:pPr>
        <w:rPr>
          <w:lang w:eastAsia="es-CO"/>
        </w:rPr>
      </w:pPr>
    </w:p>
    <w:p w14:paraId="49857A86">
      <w:pPr>
        <w:rPr>
          <w:lang w:eastAsia="es-CO"/>
        </w:rPr>
      </w:pPr>
    </w:p>
    <w:p w14:paraId="20BA4D55">
      <w:pPr>
        <w:rPr>
          <w:lang w:eastAsia="es-CO"/>
        </w:rPr>
      </w:pPr>
    </w:p>
    <w:p w14:paraId="263589E0">
      <w:pPr>
        <w:rPr>
          <w:lang w:eastAsia="es-CO"/>
        </w:rPr>
      </w:pPr>
    </w:p>
    <w:p w14:paraId="6EF7219A">
      <w:pPr>
        <w:rPr>
          <w:lang w:eastAsia="es-CO"/>
        </w:rPr>
      </w:pPr>
    </w:p>
    <w:p w14:paraId="4876C24B">
      <w:r>
        <w:rPr>
          <w:lang w:eastAsia="es-CO"/>
        </w:rPr>
        <w:drawing>
          <wp:anchor distT="0" distB="0" distL="114300" distR="114300" simplePos="0" relativeHeight="251667456" behindDoc="1" locked="0" layoutInCell="1" allowOverlap="1">
            <wp:simplePos x="0" y="0"/>
            <wp:positionH relativeFrom="column">
              <wp:posOffset>-3810</wp:posOffset>
            </wp:positionH>
            <wp:positionV relativeFrom="paragraph">
              <wp:posOffset>13970</wp:posOffset>
            </wp:positionV>
            <wp:extent cx="5895975" cy="7153275"/>
            <wp:effectExtent l="0" t="0" r="9525" b="9525"/>
            <wp:wrapNone/>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n 68"/>
                    <pic:cNvPicPr>
                      <a:picLocks noChangeAspect="1"/>
                    </pic:cNvPicPr>
                  </pic:nvPicPr>
                  <pic:blipFill>
                    <a:blip r:embed="rId24" cstate="print">
                      <a:extLst>
                        <a:ext uri="{28A0092B-C50C-407E-A947-70E740481C1C}">
                          <a14:useLocalDpi xmlns:a14="http://schemas.microsoft.com/office/drawing/2010/main" val="0"/>
                        </a:ext>
                      </a:extLst>
                    </a:blip>
                    <a:srcRect l="27834" t="17130" r="32621" b="5103"/>
                    <a:stretch>
                      <a:fillRect/>
                    </a:stretch>
                  </pic:blipFill>
                  <pic:spPr>
                    <a:xfrm>
                      <a:off x="0" y="0"/>
                      <a:ext cx="5905319" cy="7164612"/>
                    </a:xfrm>
                    <a:prstGeom prst="rect">
                      <a:avLst/>
                    </a:prstGeom>
                    <a:ln>
                      <a:noFill/>
                    </a:ln>
                  </pic:spPr>
                </pic:pic>
              </a:graphicData>
            </a:graphic>
          </wp:anchor>
        </w:drawing>
      </w:r>
    </w:p>
    <w:p w14:paraId="0F08A28C"/>
    <w:p w14:paraId="7216AE83"/>
    <w:p w14:paraId="30605A1E"/>
    <w:p w14:paraId="7B6E0CD5"/>
    <w:p w14:paraId="47EF42B6"/>
    <w:p w14:paraId="40DF195B"/>
    <w:p w14:paraId="49DC9EB6"/>
    <w:p w14:paraId="2FC1801D"/>
    <w:p w14:paraId="2D5CA3C4"/>
    <w:p w14:paraId="560357C4"/>
    <w:p w14:paraId="594AD191"/>
    <w:p w14:paraId="26569FF0"/>
    <w:p w14:paraId="6442821E"/>
    <w:p w14:paraId="6686A11F"/>
    <w:p w14:paraId="55E01580"/>
    <w:p w14:paraId="10A5B747"/>
    <w:p w14:paraId="4074E839"/>
    <w:p w14:paraId="5FFDACD8"/>
    <w:p w14:paraId="21DCC804"/>
    <w:p w14:paraId="2DF20A5C"/>
    <w:p w14:paraId="39843B25"/>
    <w:p w14:paraId="20DDDE79"/>
    <w:p w14:paraId="7AAC8E3D"/>
    <w:p w14:paraId="48D9A289"/>
    <w:p w14:paraId="603D3CA8"/>
    <w:p w14:paraId="284CDF89"/>
    <w:p w14:paraId="282850D4"/>
    <w:p w14:paraId="2DB1A87D"/>
    <w:p w14:paraId="1399843A"/>
    <w:p w14:paraId="03725D1F"/>
    <w:p w14:paraId="556B1CA4"/>
    <w:p w14:paraId="0936AA21"/>
    <w:p w14:paraId="112972B5"/>
    <w:p w14:paraId="7E223E80"/>
    <w:p w14:paraId="02C4AFE9"/>
    <w:p w14:paraId="4E9D376A"/>
    <w:p w14:paraId="0063B914"/>
    <w:p w14:paraId="02A31AC4"/>
    <w:p w14:paraId="209195F7">
      <w:pPr>
        <w:pStyle w:val="3"/>
        <w:numPr>
          <w:ilvl w:val="0"/>
          <w:numId w:val="8"/>
        </w:numPr>
        <w:jc w:val="center"/>
        <w:rPr>
          <w:rFonts w:ascii="Century Gothic" w:hAnsi="Century Gothic"/>
          <w:sz w:val="22"/>
          <w:szCs w:val="22"/>
        </w:rPr>
      </w:pPr>
      <w:r>
        <w:rPr>
          <w:rFonts w:ascii="Century Gothic" w:hAnsi="Century Gothic"/>
          <w:sz w:val="22"/>
          <w:szCs w:val="22"/>
        </w:rPr>
        <w:t>APROBACIÓN Y VIGENCIA</w:t>
      </w:r>
      <w:bookmarkEnd w:id="137"/>
      <w:bookmarkEnd w:id="138"/>
      <w:bookmarkEnd w:id="139"/>
      <w:bookmarkEnd w:id="140"/>
      <w:bookmarkEnd w:id="141"/>
      <w:bookmarkEnd w:id="142"/>
    </w:p>
    <w:p w14:paraId="0C32FAAD">
      <w:pPr>
        <w:rPr>
          <w:rFonts w:ascii="Century Gothic" w:hAnsi="Century Gothic"/>
          <w:sz w:val="22"/>
          <w:szCs w:val="22"/>
        </w:rPr>
      </w:pPr>
    </w:p>
    <w:p w14:paraId="1AC77F70">
      <w:pPr>
        <w:rPr>
          <w:rFonts w:ascii="Century Gothic" w:hAnsi="Century Gothic" w:cs="Arial"/>
          <w:sz w:val="22"/>
          <w:szCs w:val="22"/>
        </w:rPr>
      </w:pPr>
      <w:r>
        <w:rPr>
          <w:rFonts w:ascii="Century Gothic" w:hAnsi="Century Gothic" w:cs="Arial"/>
          <w:sz w:val="22"/>
          <w:szCs w:val="22"/>
        </w:rPr>
        <w:t xml:space="preserve">El presente Manual fue aprobado en la reunión ordinaria del Consejo de Administración, celebrada el día </w:t>
      </w:r>
      <w:r>
        <w:rPr>
          <w:rFonts w:ascii="Century Gothic" w:hAnsi="Century Gothic" w:cs="Arial"/>
          <w:b/>
          <w:sz w:val="22"/>
          <w:szCs w:val="22"/>
        </w:rPr>
        <w:t>23</w:t>
      </w:r>
      <w:r>
        <w:rPr>
          <w:rFonts w:ascii="Century Gothic" w:hAnsi="Century Gothic" w:cs="Arial"/>
          <w:sz w:val="22"/>
          <w:szCs w:val="22"/>
        </w:rPr>
        <w:t xml:space="preserve"> de </w:t>
      </w:r>
      <w:r>
        <w:rPr>
          <w:rFonts w:ascii="Century Gothic" w:hAnsi="Century Gothic" w:cs="Arial"/>
          <w:b/>
          <w:sz w:val="22"/>
          <w:szCs w:val="22"/>
        </w:rPr>
        <w:t>marzo</w:t>
      </w:r>
      <w:r>
        <w:rPr>
          <w:rFonts w:ascii="Century Gothic" w:hAnsi="Century Gothic" w:cs="Arial"/>
          <w:sz w:val="22"/>
          <w:szCs w:val="22"/>
        </w:rPr>
        <w:t xml:space="preserve"> de </w:t>
      </w:r>
      <w:r>
        <w:rPr>
          <w:rFonts w:ascii="Century Gothic" w:hAnsi="Century Gothic" w:cs="Arial"/>
          <w:b/>
          <w:sz w:val="22"/>
          <w:szCs w:val="22"/>
        </w:rPr>
        <w:t>2019</w:t>
      </w:r>
      <w:r>
        <w:rPr>
          <w:rFonts w:ascii="Century Gothic" w:hAnsi="Century Gothic" w:cs="Arial"/>
          <w:sz w:val="22"/>
          <w:szCs w:val="22"/>
        </w:rPr>
        <w:t xml:space="preserve"> según acta N° </w:t>
      </w:r>
      <w:r>
        <w:rPr>
          <w:rFonts w:ascii="Century Gothic" w:hAnsi="Century Gothic" w:cs="Arial"/>
          <w:b/>
          <w:sz w:val="22"/>
          <w:szCs w:val="22"/>
        </w:rPr>
        <w:t xml:space="preserve">003 </w:t>
      </w:r>
      <w:r>
        <w:rPr>
          <w:rFonts w:ascii="Century Gothic" w:hAnsi="Century Gothic" w:cs="Arial"/>
          <w:sz w:val="22"/>
          <w:szCs w:val="22"/>
        </w:rPr>
        <w:t>y entra en vigencia a partir de la fecha de aprobación derogando todas las disposiciones anteriores o que le sean contrarias y que estén relacionadas con la prevención y control del LA/FT de la Entidad.</w:t>
      </w:r>
    </w:p>
    <w:p w14:paraId="7270B530">
      <w:pPr>
        <w:rPr>
          <w:rFonts w:ascii="Century Gothic" w:hAnsi="Century Gothic" w:cs="Arial"/>
          <w:sz w:val="22"/>
          <w:szCs w:val="22"/>
        </w:rPr>
      </w:pPr>
    </w:p>
    <w:p w14:paraId="7EB6DF0F">
      <w:pPr>
        <w:rPr>
          <w:rFonts w:ascii="Century Gothic" w:hAnsi="Century Gothic" w:cs="Arial"/>
          <w:sz w:val="22"/>
          <w:szCs w:val="22"/>
        </w:rPr>
      </w:pPr>
    </w:p>
    <w:p w14:paraId="68E3F9E8">
      <w:pPr>
        <w:rPr>
          <w:rFonts w:ascii="Century Gothic" w:hAnsi="Century Gothic" w:cs="Arial"/>
          <w:sz w:val="22"/>
          <w:szCs w:val="22"/>
        </w:rPr>
      </w:pPr>
    </w:p>
    <w:p w14:paraId="0CF722B5">
      <w:pPr>
        <w:rPr>
          <w:rFonts w:ascii="Century Gothic" w:hAnsi="Century Gothic" w:cs="Arial"/>
          <w:sz w:val="22"/>
          <w:szCs w:val="22"/>
        </w:rPr>
      </w:pPr>
      <w:r>
        <w:rPr>
          <w:rFonts w:ascii="Century Gothic" w:hAnsi="Century Gothic" w:cs="Arial"/>
          <w:sz w:val="22"/>
          <w:szCs w:val="22"/>
        </w:rPr>
        <w:t>En constancia firman:</w:t>
      </w:r>
    </w:p>
    <w:p w14:paraId="7FFB4308">
      <w:pPr>
        <w:rPr>
          <w:rFonts w:ascii="Century Gothic" w:hAnsi="Century Gothic" w:cs="Arial"/>
          <w:sz w:val="22"/>
          <w:szCs w:val="22"/>
        </w:rPr>
      </w:pPr>
    </w:p>
    <w:p w14:paraId="65477C78">
      <w:pPr>
        <w:rPr>
          <w:rFonts w:ascii="Century Gothic" w:hAnsi="Century Gothic" w:cs="Arial"/>
          <w:sz w:val="22"/>
          <w:szCs w:val="22"/>
        </w:rPr>
      </w:pPr>
    </w:p>
    <w:p w14:paraId="027EFD76">
      <w:pPr>
        <w:rPr>
          <w:rFonts w:ascii="Century Gothic" w:hAnsi="Century Gothic" w:cs="Arial"/>
          <w:sz w:val="22"/>
          <w:szCs w:val="22"/>
        </w:rPr>
      </w:pPr>
    </w:p>
    <w:p w14:paraId="5CCE40A0">
      <w:pPr>
        <w:rPr>
          <w:rFonts w:ascii="Century Gothic" w:hAnsi="Century Gothic" w:cs="Arial"/>
          <w:sz w:val="22"/>
          <w:szCs w:val="22"/>
        </w:rPr>
      </w:pPr>
    </w:p>
    <w:p w14:paraId="6F923322">
      <w:pPr>
        <w:rPr>
          <w:rFonts w:ascii="Century Gothic" w:hAnsi="Century Gothic" w:cs="Arial"/>
          <w:sz w:val="22"/>
          <w:szCs w:val="22"/>
        </w:rPr>
      </w:pPr>
    </w:p>
    <w:p w14:paraId="56C09D9B">
      <w:pPr>
        <w:jc w:val="left"/>
        <w:rPr>
          <w:rFonts w:ascii="Century Gothic" w:hAnsi="Century Gothic" w:cs="Arial"/>
          <w:b/>
          <w:sz w:val="22"/>
          <w:szCs w:val="22"/>
        </w:rPr>
      </w:pPr>
    </w:p>
    <w:p w14:paraId="366B1FB2">
      <w:pPr>
        <w:jc w:val="left"/>
        <w:rPr>
          <w:rFonts w:ascii="Century Gothic" w:hAnsi="Century Gothic" w:cs="Arial"/>
          <w:b/>
          <w:sz w:val="22"/>
          <w:szCs w:val="22"/>
        </w:rPr>
      </w:pPr>
    </w:p>
    <w:p w14:paraId="46ABC814">
      <w:pPr>
        <w:jc w:val="left"/>
        <w:rPr>
          <w:rFonts w:ascii="Century Gothic" w:hAnsi="Century Gothic" w:cs="Arial"/>
          <w:sz w:val="22"/>
          <w:szCs w:val="22"/>
        </w:rPr>
      </w:pPr>
      <w:r>
        <w:rPr>
          <w:rFonts w:ascii="Century Gothic" w:hAnsi="Century Gothic" w:cs="Arial"/>
          <w:b/>
          <w:sz w:val="22"/>
          <w:szCs w:val="22"/>
        </w:rPr>
        <w:t>VARGAS RIOS ROSALBINA</w:t>
      </w:r>
      <w:r>
        <w:rPr>
          <w:rFonts w:ascii="Century Gothic" w:hAnsi="Century Gothic" w:cs="Arial"/>
          <w:b/>
          <w:sz w:val="22"/>
          <w:szCs w:val="22"/>
        </w:rPr>
        <w:tab/>
      </w:r>
      <w:r>
        <w:rPr>
          <w:rFonts w:ascii="Century Gothic" w:hAnsi="Century Gothic" w:cs="Arial"/>
          <w:b/>
          <w:sz w:val="22"/>
          <w:szCs w:val="22"/>
        </w:rPr>
        <w:tab/>
      </w:r>
      <w:r>
        <w:rPr>
          <w:rFonts w:ascii="Century Gothic" w:hAnsi="Century Gothic" w:cs="Arial"/>
          <w:b/>
          <w:sz w:val="22"/>
          <w:szCs w:val="22"/>
        </w:rPr>
        <w:t xml:space="preserve">                          M. RAUL SARMIENTO SANTANDER                                   </w:t>
      </w:r>
      <w:r>
        <w:rPr>
          <w:rFonts w:ascii="Century Gothic" w:hAnsi="Century Gothic" w:cs="Arial"/>
          <w:sz w:val="22"/>
          <w:szCs w:val="22"/>
        </w:rPr>
        <w:t xml:space="preserve">                Presidente Consejo Administración                        Secretario Consejo Administración</w:t>
      </w:r>
    </w:p>
    <w:p w14:paraId="47278DFE">
      <w:pPr>
        <w:autoSpaceDE w:val="0"/>
        <w:autoSpaceDN w:val="0"/>
        <w:adjustRightInd w:val="0"/>
        <w:jc w:val="left"/>
        <w:rPr>
          <w:rFonts w:ascii="Century Gothic" w:hAnsi="Century Gothic" w:cs="Arial"/>
          <w:i/>
          <w:color w:val="FF0000"/>
          <w:sz w:val="22"/>
          <w:szCs w:val="22"/>
          <w:lang w:eastAsia="es-CO"/>
        </w:rPr>
      </w:pPr>
    </w:p>
    <w:p w14:paraId="537F243C">
      <w:pPr>
        <w:autoSpaceDE w:val="0"/>
        <w:autoSpaceDN w:val="0"/>
        <w:adjustRightInd w:val="0"/>
        <w:rPr>
          <w:rFonts w:ascii="Century Gothic" w:hAnsi="Century Gothic" w:cs="Arial"/>
          <w:i/>
          <w:color w:val="FF0000"/>
          <w:sz w:val="22"/>
          <w:szCs w:val="22"/>
          <w:lang w:eastAsia="es-CO"/>
        </w:rPr>
      </w:pPr>
    </w:p>
    <w:p w14:paraId="4F9DFF44">
      <w:pPr>
        <w:tabs>
          <w:tab w:val="left" w:pos="5040"/>
        </w:tabs>
        <w:rPr>
          <w:rFonts w:ascii="Century Gothic" w:hAnsi="Century Gothic"/>
          <w:sz w:val="22"/>
          <w:szCs w:val="22"/>
          <w:lang w:val="es-ES"/>
        </w:rPr>
      </w:pPr>
      <w:r>
        <w:rPr>
          <w:rFonts w:ascii="Century Gothic" w:hAnsi="Century Gothic"/>
          <w:sz w:val="22"/>
          <w:szCs w:val="22"/>
          <w:lang w:val="es-ES"/>
        </w:rPr>
        <w:tab/>
      </w:r>
    </w:p>
    <w:sectPr>
      <w:type w:val="continuous"/>
      <w:pgSz w:w="12240" w:h="15840"/>
      <w:pgMar w:top="1701" w:right="1701" w:bottom="1701" w:left="1701" w:header="567" w:footer="567" w:gutter="0"/>
      <w:cols w:space="708" w:num="1"/>
      <w:titlePg/>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ITC Franklin Gothic Std Book">
    <w:altName w:val="Calibri"/>
    <w:panose1 w:val="00000000000000000000"/>
    <w:charset w:val="00"/>
    <w:family w:val="swiss"/>
    <w:pitch w:val="default"/>
    <w:sig w:usb0="00000000" w:usb1="00000000" w:usb2="00000000" w:usb3="00000000" w:csb0="00000001" w:csb1="00000000"/>
  </w:font>
  <w:font w:name="ITC Franklin Gothic Std">
    <w:altName w:val="Segoe Print"/>
    <w:panose1 w:val="00000000000000000000"/>
    <w:charset w:val="00"/>
    <w:family w:val="swiss"/>
    <w:pitch w:val="default"/>
    <w:sig w:usb0="00000000" w:usb1="00000000" w:usb2="00000000" w:usb3="00000000" w:csb0="00000001" w:csb1="00000000"/>
  </w:font>
  <w:font w:name="Century Gothic">
    <w:panose1 w:val="020B0502020202020204"/>
    <w:charset w:val="00"/>
    <w:family w:val="swiss"/>
    <w:pitch w:val="default"/>
    <w:sig w:usb0="00000287" w:usb1="00000000" w:usb2="00000000" w:usb3="00000000" w:csb0="2000009F" w:csb1="DFD70000"/>
  </w:font>
  <w:font w:name="Symbol">
    <w:panose1 w:val="05050102010706020507"/>
    <w:charset w:val="02"/>
    <w:family w:val="roman"/>
    <w:pitch w:val="default"/>
    <w:sig w:usb0="00000000" w:usb1="00000000" w:usb2="00000000" w:usb3="00000000" w:csb0="80000000" w:csb1="00000000"/>
  </w:font>
  <w:font w:name="Arial Unicode MS">
    <w:altName w:val="Arial"/>
    <w:panose1 w:val="020B0604020202020204"/>
    <w:charset w:val="80"/>
    <w:family w:val="swiss"/>
    <w:pitch w:val="default"/>
    <w:sig w:usb0="00000000" w:usb1="00000000" w:usb2="0000003F" w:usb3="00000000" w:csb0="003F01FF" w:csb1="00000000"/>
  </w:font>
  <w:font w:name="Helvetica">
    <w:altName w:val="Arial"/>
    <w:panose1 w:val="020B0604020202020204"/>
    <w:charset w:val="00"/>
    <w:family w:val="swiss"/>
    <w:pitch w:val="default"/>
    <w:sig w:usb0="00000000" w:usb1="00000000" w:usb2="00000000" w:usb3="00000000" w:csb0="00000001" w:csb1="00000000"/>
  </w:font>
  <w:font w:name="SourceSansPro-Light">
    <w:altName w:val="Segoe Print"/>
    <w:panose1 w:val="00000000000000000000"/>
    <w:charset w:val="00"/>
    <w:family w:val="auto"/>
    <w:pitch w:val="default"/>
    <w:sig w:usb0="00000000" w:usb1="00000000" w:usb2="00000000" w:usb3="00000000" w:csb0="00000001" w:csb1="00000000"/>
  </w:font>
  <w:font w:name="SymbolMT">
    <w:altName w:val="MingLiU-ExtB"/>
    <w:panose1 w:val="00000000000000000000"/>
    <w:charset w:val="88"/>
    <w:family w:val="auto"/>
    <w:pitch w:val="default"/>
    <w:sig w:usb0="00000000" w:usb1="00000000" w:usb2="00000010" w:usb3="00000000" w:csb0="00100000"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513056"/>
      <w:docPartObj>
        <w:docPartGallery w:val="AutoText"/>
      </w:docPartObj>
    </w:sdtPr>
    <w:sdtContent>
      <w:p w14:paraId="164465EB">
        <w:pPr>
          <w:pStyle w:val="44"/>
          <w:jc w:val="right"/>
        </w:pPr>
        <w:r>
          <w:fldChar w:fldCharType="begin"/>
        </w:r>
        <w:r>
          <w:instrText xml:space="preserve">PAGE   \* MERGEFORMAT</w:instrText>
        </w:r>
        <w:r>
          <w:fldChar w:fldCharType="separate"/>
        </w:r>
        <w:r>
          <w:rPr>
            <w:lang w:val="es-ES"/>
          </w:rPr>
          <w:t>74</w:t>
        </w:r>
        <w:r>
          <w:fldChar w:fldCharType="end"/>
        </w:r>
      </w:p>
    </w:sdtContent>
  </w:sdt>
  <w:p w14:paraId="5906B4CC">
    <w:pPr>
      <w:pStyle w:val="4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BC771D">
    <w:pPr>
      <w:pStyle w:val="40"/>
    </w:pPr>
  </w:p>
  <w:tbl>
    <w:tblPr>
      <w:tblStyle w:val="9"/>
      <w:tblW w:w="9072" w:type="dxa"/>
      <w:tblInd w:w="7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70" w:type="dxa"/>
        <w:bottom w:w="0" w:type="dxa"/>
        <w:right w:w="70" w:type="dxa"/>
      </w:tblCellMar>
    </w:tblPr>
    <w:tblGrid>
      <w:gridCol w:w="2601"/>
      <w:gridCol w:w="6471"/>
    </w:tblGrid>
    <w:tr w14:paraId="6403CC3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70" w:type="dxa"/>
          <w:bottom w:w="0" w:type="dxa"/>
          <w:right w:w="70" w:type="dxa"/>
        </w:tblCellMar>
      </w:tblPrEx>
      <w:trPr>
        <w:cantSplit/>
        <w:trHeight w:val="1459" w:hRule="atLeast"/>
      </w:trPr>
      <w:tc>
        <w:tcPr>
          <w:tcW w:w="2601" w:type="dxa"/>
        </w:tcPr>
        <w:p w14:paraId="33FC12D3">
          <w:pPr>
            <w:rPr>
              <w:rFonts w:cs="Arial"/>
            </w:rPr>
          </w:pPr>
          <w:r>
            <w:rPr>
              <w:rFonts w:cs="Arial"/>
              <w:lang w:eastAsia="es-CO"/>
            </w:rPr>
            <w:drawing>
              <wp:anchor distT="0" distB="0" distL="114300" distR="114300" simplePos="0" relativeHeight="251661312" behindDoc="1" locked="0" layoutInCell="1" allowOverlap="1">
                <wp:simplePos x="0" y="0"/>
                <wp:positionH relativeFrom="column">
                  <wp:posOffset>86995</wp:posOffset>
                </wp:positionH>
                <wp:positionV relativeFrom="paragraph">
                  <wp:posOffset>65405</wp:posOffset>
                </wp:positionV>
                <wp:extent cx="1305560" cy="820420"/>
                <wp:effectExtent l="0" t="0" r="8890" b="0"/>
                <wp:wrapNone/>
                <wp:docPr id="12" name="Imagen 12" descr="D:\JENNY\2019\SOCORRO\COOPCALLEJONA\Sarlarft\Informacion suministrada\LOGO COOPCALLEJO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D:\JENNY\2019\SOCORRO\COOPCALLEJONA\Sarlarft\Informacion suministrada\LOGO COOPCALLEJONA.png"/>
                        <pic:cNvPicPr>
                          <a:picLocks noChangeAspect="1" noChangeArrowheads="1"/>
                        </pic:cNvPicPr>
                      </pic:nvPicPr>
                      <pic:blipFill>
                        <a:blip r:embed="rId1">
                          <a:extLst>
                            <a:ext uri="{28A0092B-C50C-407E-A947-70E740481C1C}">
                              <a14:useLocalDpi xmlns:a14="http://schemas.microsoft.com/office/drawing/2010/main" val="0"/>
                            </a:ext>
                          </a:extLst>
                        </a:blip>
                        <a:srcRect t="16282" b="20907"/>
                        <a:stretch>
                          <a:fillRect/>
                        </a:stretch>
                      </pic:blipFill>
                      <pic:spPr>
                        <a:xfrm>
                          <a:off x="0" y="0"/>
                          <a:ext cx="1311445" cy="823736"/>
                        </a:xfrm>
                        <a:prstGeom prst="rect">
                          <a:avLst/>
                        </a:prstGeom>
                        <a:noFill/>
                        <a:ln>
                          <a:noFill/>
                        </a:ln>
                      </pic:spPr>
                    </pic:pic>
                  </a:graphicData>
                </a:graphic>
              </wp:anchor>
            </w:drawing>
          </w:r>
        </w:p>
      </w:tc>
      <w:tc>
        <w:tcPr>
          <w:tcW w:w="6471" w:type="dxa"/>
          <w:vAlign w:val="center"/>
        </w:tcPr>
        <w:p w14:paraId="686AFB85">
          <w:pPr>
            <w:jc w:val="center"/>
            <w:rPr>
              <w:rFonts w:ascii="Century Gothic" w:hAnsi="Century Gothic" w:cs="Arial"/>
              <w:b/>
              <w:sz w:val="22"/>
            </w:rPr>
          </w:pPr>
          <w:r>
            <w:rPr>
              <w:rFonts w:ascii="Century Gothic" w:hAnsi="Century Gothic" w:cs="Arial"/>
              <w:b/>
              <w:sz w:val="22"/>
            </w:rPr>
            <w:t>Manual Sistema de Administración de Riesgos de Lavado de Activos y Financiación del Terrorismo – SARLAFT</w:t>
          </w:r>
        </w:p>
        <w:p w14:paraId="6B401978">
          <w:pPr>
            <w:jc w:val="center"/>
            <w:rPr>
              <w:rFonts w:ascii="Century Gothic" w:hAnsi="Century Gothic" w:cs="Arial"/>
              <w:b/>
              <w:sz w:val="22"/>
            </w:rPr>
          </w:pPr>
        </w:p>
        <w:p w14:paraId="151E0FFA">
          <w:pPr>
            <w:jc w:val="center"/>
            <w:rPr>
              <w:rFonts w:ascii="Century Gothic" w:hAnsi="Century Gothic" w:cs="Arial"/>
              <w:b/>
              <w:sz w:val="20"/>
              <w:szCs w:val="20"/>
            </w:rPr>
          </w:pPr>
          <w:r>
            <w:rPr>
              <w:rFonts w:ascii="Century Gothic" w:hAnsi="Century Gothic" w:cs="Arial"/>
              <w:b/>
              <w:sz w:val="20"/>
              <w:szCs w:val="20"/>
            </w:rPr>
            <w:t xml:space="preserve">COOPERATIVA DE AMIGOS Y VECINOS DE CALLEJONA  LTDA. </w:t>
          </w:r>
        </w:p>
        <w:p w14:paraId="3D579534">
          <w:pPr>
            <w:jc w:val="center"/>
            <w:rPr>
              <w:rFonts w:ascii="Century Gothic" w:hAnsi="Century Gothic" w:cs="Arial"/>
              <w:b/>
              <w:sz w:val="20"/>
              <w:szCs w:val="20"/>
            </w:rPr>
          </w:pPr>
          <w:r>
            <w:rPr>
              <w:rFonts w:ascii="Century Gothic" w:hAnsi="Century Gothic" w:cs="Arial"/>
              <w:b/>
              <w:sz w:val="20"/>
              <w:szCs w:val="20"/>
            </w:rPr>
            <w:t>“COOPCALLEJONA LTDA”</w:t>
          </w:r>
        </w:p>
      </w:tc>
    </w:tr>
  </w:tbl>
  <w:p w14:paraId="5D3E241B">
    <w:pPr>
      <w:pStyle w:val="4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48E31">
    <w:pPr>
      <w:pStyle w:val="40"/>
    </w:pPr>
    <w:r>
      <w:pict>
        <v:shape id="PowerPlusWaterMarkObject175000672" o:spid="_x0000_s2050" o:spt="136" type="#_x0000_t136" style="position:absolute;left:0pt;height:41.25pt;width:407.25pt;mso-position-horizontal:center;mso-position-horizontal-relative:margin;mso-position-vertical:center;mso-position-vertical-relative:margin;rotation:20643840f;z-index:-251654144;mso-width-relative:page;mso-height-relative:page;" fillcolor="#C0C0C0" filled="t" stroked="f" coordsize="21600,21600" o:allowincell="f">
          <v:path/>
          <v:fill on="t" focussize="0,0"/>
          <v:stroke on="f"/>
          <v:imagedata o:title=""/>
          <o:lock v:ext="edit"/>
          <v:textpath on="t" fitpath="t" trim="f" xscale="f" string="BORRADOR - EJEMPLO" style="font-family:Arial;font-size:36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BE1996">
    <w:pPr>
      <w:pStyle w:val="40"/>
    </w:pPr>
    <w:r>
      <w:rPr>
        <w:rFonts w:cs="Arial"/>
        <w:lang w:eastAsia="es-CO"/>
      </w:rPr>
      <w:drawing>
        <wp:anchor distT="0" distB="0" distL="114300" distR="114300" simplePos="0" relativeHeight="251662336" behindDoc="1" locked="0" layoutInCell="1" allowOverlap="1">
          <wp:simplePos x="0" y="0"/>
          <wp:positionH relativeFrom="column">
            <wp:posOffset>-402590</wp:posOffset>
          </wp:positionH>
          <wp:positionV relativeFrom="paragraph">
            <wp:posOffset>2620010</wp:posOffset>
          </wp:positionV>
          <wp:extent cx="6414770" cy="4029075"/>
          <wp:effectExtent l="0" t="0" r="5715" b="0"/>
          <wp:wrapNone/>
          <wp:docPr id="15" name="Imagen 15" descr="D:\JENNY\2019\SOCORRO\COOPCALLEJONA\Sarlarft\Informacion suministrada\LOGO COOPCALLEJO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D:\JENNY\2019\SOCORRO\COOPCALLEJONA\Sarlarft\Informacion suministrada\LOGO COOPCALLEJONA.png"/>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t="16282" b="20907"/>
                  <a:stretch>
                    <a:fillRect/>
                  </a:stretch>
                </pic:blipFill>
                <pic:spPr>
                  <a:xfrm>
                    <a:off x="0" y="0"/>
                    <a:ext cx="6414720" cy="402917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E15E5B"/>
    <w:multiLevelType w:val="multilevel"/>
    <w:tmpl w:val="00E15E5B"/>
    <w:lvl w:ilvl="0" w:tentative="0">
      <w:start w:val="1"/>
      <w:numFmt w:val="decimal"/>
      <w:lvlText w:val="%1."/>
      <w:lvlJc w:val="left"/>
      <w:pPr>
        <w:ind w:left="1069" w:hanging="360"/>
      </w:p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1">
    <w:nsid w:val="014E42D5"/>
    <w:multiLevelType w:val="multilevel"/>
    <w:tmpl w:val="014E42D5"/>
    <w:lvl w:ilvl="0" w:tentative="0">
      <w:start w:val="1"/>
      <w:numFmt w:val="bullet"/>
      <w:lvlText w:val=""/>
      <w:lvlJc w:val="left"/>
      <w:pPr>
        <w:ind w:left="1069" w:hanging="360"/>
      </w:pPr>
      <w:rPr>
        <w:rFonts w:hint="default" w:ascii="Wingdings" w:hAnsi="Wingdings"/>
      </w:rPr>
    </w:lvl>
    <w:lvl w:ilvl="1" w:tentative="0">
      <w:start w:val="1"/>
      <w:numFmt w:val="bullet"/>
      <w:lvlText w:val="o"/>
      <w:lvlJc w:val="left"/>
      <w:pPr>
        <w:ind w:left="1789" w:hanging="360"/>
      </w:pPr>
      <w:rPr>
        <w:rFonts w:hint="default" w:ascii="Courier New" w:hAnsi="Courier New" w:cs="Courier New"/>
      </w:rPr>
    </w:lvl>
    <w:lvl w:ilvl="2" w:tentative="0">
      <w:start w:val="1"/>
      <w:numFmt w:val="bullet"/>
      <w:lvlText w:val=""/>
      <w:lvlJc w:val="left"/>
      <w:pPr>
        <w:ind w:left="2509" w:hanging="360"/>
      </w:pPr>
      <w:rPr>
        <w:rFonts w:hint="default" w:ascii="Wingdings" w:hAnsi="Wingdings"/>
      </w:rPr>
    </w:lvl>
    <w:lvl w:ilvl="3" w:tentative="0">
      <w:start w:val="1"/>
      <w:numFmt w:val="bullet"/>
      <w:lvlText w:val=""/>
      <w:lvlJc w:val="left"/>
      <w:pPr>
        <w:ind w:left="3229" w:hanging="360"/>
      </w:pPr>
      <w:rPr>
        <w:rFonts w:hint="default" w:ascii="Symbol" w:hAnsi="Symbol"/>
      </w:rPr>
    </w:lvl>
    <w:lvl w:ilvl="4" w:tentative="0">
      <w:start w:val="1"/>
      <w:numFmt w:val="bullet"/>
      <w:lvlText w:val="o"/>
      <w:lvlJc w:val="left"/>
      <w:pPr>
        <w:ind w:left="3949" w:hanging="360"/>
      </w:pPr>
      <w:rPr>
        <w:rFonts w:hint="default" w:ascii="Courier New" w:hAnsi="Courier New" w:cs="Courier New"/>
      </w:rPr>
    </w:lvl>
    <w:lvl w:ilvl="5" w:tentative="0">
      <w:start w:val="1"/>
      <w:numFmt w:val="bullet"/>
      <w:lvlText w:val=""/>
      <w:lvlJc w:val="left"/>
      <w:pPr>
        <w:ind w:left="4669" w:hanging="360"/>
      </w:pPr>
      <w:rPr>
        <w:rFonts w:hint="default" w:ascii="Wingdings" w:hAnsi="Wingdings"/>
      </w:rPr>
    </w:lvl>
    <w:lvl w:ilvl="6" w:tentative="0">
      <w:start w:val="1"/>
      <w:numFmt w:val="bullet"/>
      <w:lvlText w:val=""/>
      <w:lvlJc w:val="left"/>
      <w:pPr>
        <w:ind w:left="5389" w:hanging="360"/>
      </w:pPr>
      <w:rPr>
        <w:rFonts w:hint="default" w:ascii="Symbol" w:hAnsi="Symbol"/>
      </w:rPr>
    </w:lvl>
    <w:lvl w:ilvl="7" w:tentative="0">
      <w:start w:val="1"/>
      <w:numFmt w:val="bullet"/>
      <w:lvlText w:val="o"/>
      <w:lvlJc w:val="left"/>
      <w:pPr>
        <w:ind w:left="6109" w:hanging="360"/>
      </w:pPr>
      <w:rPr>
        <w:rFonts w:hint="default" w:ascii="Courier New" w:hAnsi="Courier New" w:cs="Courier New"/>
      </w:rPr>
    </w:lvl>
    <w:lvl w:ilvl="8" w:tentative="0">
      <w:start w:val="1"/>
      <w:numFmt w:val="bullet"/>
      <w:lvlText w:val=""/>
      <w:lvlJc w:val="left"/>
      <w:pPr>
        <w:ind w:left="6829" w:hanging="360"/>
      </w:pPr>
      <w:rPr>
        <w:rFonts w:hint="default" w:ascii="Wingdings" w:hAnsi="Wingdings"/>
      </w:rPr>
    </w:lvl>
  </w:abstractNum>
  <w:abstractNum w:abstractNumId="2">
    <w:nsid w:val="02E673A5"/>
    <w:multiLevelType w:val="multilevel"/>
    <w:tmpl w:val="02E673A5"/>
    <w:lvl w:ilvl="0" w:tentative="0">
      <w:start w:val="1"/>
      <w:numFmt w:val="bullet"/>
      <w:lvlText w:val=""/>
      <w:lvlJc w:val="left"/>
      <w:pPr>
        <w:ind w:left="785" w:hanging="360"/>
      </w:pPr>
      <w:rPr>
        <w:rFonts w:hint="default" w:ascii="Wingdings" w:hAnsi="Wingdings"/>
      </w:rPr>
    </w:lvl>
    <w:lvl w:ilvl="1" w:tentative="0">
      <w:start w:val="1"/>
      <w:numFmt w:val="lowerLetter"/>
      <w:lvlText w:val="%2."/>
      <w:lvlJc w:val="left"/>
      <w:pPr>
        <w:ind w:left="1647" w:hanging="360"/>
      </w:pPr>
    </w:lvl>
    <w:lvl w:ilvl="2" w:tentative="0">
      <w:start w:val="1"/>
      <w:numFmt w:val="lowerRoman"/>
      <w:lvlText w:val="%3."/>
      <w:lvlJc w:val="right"/>
      <w:pPr>
        <w:ind w:left="2367" w:hanging="180"/>
      </w:pPr>
    </w:lvl>
    <w:lvl w:ilvl="3" w:tentative="0">
      <w:start w:val="1"/>
      <w:numFmt w:val="decimal"/>
      <w:lvlText w:val="%4."/>
      <w:lvlJc w:val="left"/>
      <w:pPr>
        <w:ind w:left="3087" w:hanging="360"/>
      </w:pPr>
    </w:lvl>
    <w:lvl w:ilvl="4" w:tentative="0">
      <w:start w:val="1"/>
      <w:numFmt w:val="lowerLetter"/>
      <w:lvlText w:val="%5."/>
      <w:lvlJc w:val="left"/>
      <w:pPr>
        <w:ind w:left="3807" w:hanging="360"/>
      </w:pPr>
    </w:lvl>
    <w:lvl w:ilvl="5" w:tentative="0">
      <w:start w:val="1"/>
      <w:numFmt w:val="lowerRoman"/>
      <w:lvlText w:val="%6."/>
      <w:lvlJc w:val="right"/>
      <w:pPr>
        <w:ind w:left="4527" w:hanging="180"/>
      </w:pPr>
    </w:lvl>
    <w:lvl w:ilvl="6" w:tentative="0">
      <w:start w:val="1"/>
      <w:numFmt w:val="decimal"/>
      <w:lvlText w:val="%7."/>
      <w:lvlJc w:val="left"/>
      <w:pPr>
        <w:ind w:left="5247" w:hanging="360"/>
      </w:pPr>
    </w:lvl>
    <w:lvl w:ilvl="7" w:tentative="0">
      <w:start w:val="1"/>
      <w:numFmt w:val="lowerLetter"/>
      <w:lvlText w:val="%8."/>
      <w:lvlJc w:val="left"/>
      <w:pPr>
        <w:ind w:left="5967" w:hanging="360"/>
      </w:pPr>
    </w:lvl>
    <w:lvl w:ilvl="8" w:tentative="0">
      <w:start w:val="1"/>
      <w:numFmt w:val="lowerRoman"/>
      <w:lvlText w:val="%9."/>
      <w:lvlJc w:val="right"/>
      <w:pPr>
        <w:ind w:left="6687" w:hanging="180"/>
      </w:pPr>
    </w:lvl>
  </w:abstractNum>
  <w:abstractNum w:abstractNumId="3">
    <w:nsid w:val="036561DC"/>
    <w:multiLevelType w:val="multilevel"/>
    <w:tmpl w:val="036561DC"/>
    <w:lvl w:ilvl="0" w:tentative="0">
      <w:start w:val="1"/>
      <w:numFmt w:val="decimal"/>
      <w:lvlText w:val="%1."/>
      <w:lvlJc w:val="left"/>
      <w:pPr>
        <w:ind w:left="862" w:hanging="360"/>
      </w:pPr>
      <w:rPr>
        <w:rFonts w:hint="default"/>
      </w:rPr>
    </w:lvl>
    <w:lvl w:ilvl="1" w:tentative="0">
      <w:start w:val="1"/>
      <w:numFmt w:val="lowerLetter"/>
      <w:lvlText w:val="%2."/>
      <w:lvlJc w:val="left"/>
      <w:pPr>
        <w:ind w:left="1582" w:hanging="360"/>
      </w:pPr>
    </w:lvl>
    <w:lvl w:ilvl="2" w:tentative="0">
      <w:start w:val="1"/>
      <w:numFmt w:val="lowerRoman"/>
      <w:lvlText w:val="%3."/>
      <w:lvlJc w:val="right"/>
      <w:pPr>
        <w:ind w:left="2302" w:hanging="180"/>
      </w:pPr>
    </w:lvl>
    <w:lvl w:ilvl="3" w:tentative="0">
      <w:start w:val="1"/>
      <w:numFmt w:val="decimal"/>
      <w:lvlText w:val="%4."/>
      <w:lvlJc w:val="left"/>
      <w:pPr>
        <w:ind w:left="3022" w:hanging="360"/>
      </w:pPr>
    </w:lvl>
    <w:lvl w:ilvl="4" w:tentative="0">
      <w:start w:val="1"/>
      <w:numFmt w:val="lowerLetter"/>
      <w:lvlText w:val="%5."/>
      <w:lvlJc w:val="left"/>
      <w:pPr>
        <w:ind w:left="3742" w:hanging="360"/>
      </w:pPr>
    </w:lvl>
    <w:lvl w:ilvl="5" w:tentative="0">
      <w:start w:val="1"/>
      <w:numFmt w:val="lowerRoman"/>
      <w:lvlText w:val="%6."/>
      <w:lvlJc w:val="right"/>
      <w:pPr>
        <w:ind w:left="4462" w:hanging="180"/>
      </w:pPr>
    </w:lvl>
    <w:lvl w:ilvl="6" w:tentative="0">
      <w:start w:val="1"/>
      <w:numFmt w:val="decimal"/>
      <w:lvlText w:val="%7."/>
      <w:lvlJc w:val="left"/>
      <w:pPr>
        <w:ind w:left="5182" w:hanging="360"/>
      </w:pPr>
    </w:lvl>
    <w:lvl w:ilvl="7" w:tentative="0">
      <w:start w:val="1"/>
      <w:numFmt w:val="lowerLetter"/>
      <w:lvlText w:val="%8."/>
      <w:lvlJc w:val="left"/>
      <w:pPr>
        <w:ind w:left="5902" w:hanging="360"/>
      </w:pPr>
    </w:lvl>
    <w:lvl w:ilvl="8" w:tentative="0">
      <w:start w:val="1"/>
      <w:numFmt w:val="lowerRoman"/>
      <w:lvlText w:val="%9."/>
      <w:lvlJc w:val="right"/>
      <w:pPr>
        <w:ind w:left="6622" w:hanging="180"/>
      </w:pPr>
    </w:lvl>
  </w:abstractNum>
  <w:abstractNum w:abstractNumId="4">
    <w:nsid w:val="05927357"/>
    <w:multiLevelType w:val="multilevel"/>
    <w:tmpl w:val="05927357"/>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08805446"/>
    <w:multiLevelType w:val="multilevel"/>
    <w:tmpl w:val="08805446"/>
    <w:lvl w:ilvl="0" w:tentative="0">
      <w:start w:val="1"/>
      <w:numFmt w:val="decimal"/>
      <w:lvlText w:val="%1."/>
      <w:lvlJc w:val="left"/>
      <w:pPr>
        <w:ind w:left="1069" w:hanging="360"/>
      </w:p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6">
    <w:nsid w:val="08EA188B"/>
    <w:multiLevelType w:val="multilevel"/>
    <w:tmpl w:val="08EA188B"/>
    <w:lvl w:ilvl="0" w:tentative="0">
      <w:start w:val="1"/>
      <w:numFmt w:val="bullet"/>
      <w:lvlText w:val=""/>
      <w:lvlJc w:val="left"/>
      <w:pPr>
        <w:ind w:left="1080" w:hanging="360"/>
      </w:pPr>
      <w:rPr>
        <w:rFonts w:hint="default" w:ascii="Wingdings" w:hAnsi="Wingdings"/>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7">
    <w:nsid w:val="0C8B66AD"/>
    <w:multiLevelType w:val="multilevel"/>
    <w:tmpl w:val="0C8B66AD"/>
    <w:lvl w:ilvl="0" w:tentative="0">
      <w:start w:val="1"/>
      <w:numFmt w:val="bullet"/>
      <w:lvlText w:val=""/>
      <w:lvlJc w:val="left"/>
      <w:pPr>
        <w:ind w:left="720" w:hanging="360"/>
      </w:pPr>
      <w:rPr>
        <w:rFonts w:hint="default" w:ascii="Wingdings" w:hAnsi="Wingdings"/>
      </w:rPr>
    </w:lvl>
    <w:lvl w:ilvl="1" w:tentative="0">
      <w:start w:val="0"/>
      <w:numFmt w:val="bullet"/>
      <w:lvlText w:val=""/>
      <w:lvlJc w:val="left"/>
      <w:pPr>
        <w:ind w:left="1440" w:hanging="360"/>
      </w:pPr>
      <w:rPr>
        <w:rFonts w:hint="default" w:ascii="Century Gothic" w:hAnsi="Century Gothic" w:eastAsia="SymbolMT" w:cs="Arial"/>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DDB4140"/>
    <w:multiLevelType w:val="multilevel"/>
    <w:tmpl w:val="0DDB4140"/>
    <w:lvl w:ilvl="0" w:tentative="0">
      <w:start w:val="1"/>
      <w:numFmt w:val="lowerLetter"/>
      <w:lvlText w:val="%1."/>
      <w:lvlJc w:val="left"/>
      <w:pPr>
        <w:ind w:left="360" w:hanging="360"/>
      </w:pPr>
      <w:rPr>
        <w:rFonts w:hint="default"/>
        <w:b/>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9">
    <w:nsid w:val="0E882996"/>
    <w:multiLevelType w:val="multilevel"/>
    <w:tmpl w:val="0E882996"/>
    <w:lvl w:ilvl="0" w:tentative="0">
      <w:start w:val="1"/>
      <w:numFmt w:val="bullet"/>
      <w:lvlText w:val=""/>
      <w:lvlJc w:val="left"/>
      <w:pPr>
        <w:ind w:left="360" w:hanging="360"/>
      </w:pPr>
      <w:rPr>
        <w:rFonts w:hint="default" w:ascii="Wingdings" w:hAnsi="Wingdings"/>
        <w:color w:val="auto"/>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0">
    <w:nsid w:val="0F9C7C8F"/>
    <w:multiLevelType w:val="multilevel"/>
    <w:tmpl w:val="0F9C7C8F"/>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10FF3CBA"/>
    <w:multiLevelType w:val="multilevel"/>
    <w:tmpl w:val="10FF3CBA"/>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2">
    <w:nsid w:val="1148261C"/>
    <w:multiLevelType w:val="multilevel"/>
    <w:tmpl w:val="1148261C"/>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3">
    <w:nsid w:val="11A063FD"/>
    <w:multiLevelType w:val="multilevel"/>
    <w:tmpl w:val="11A063FD"/>
    <w:lvl w:ilvl="0" w:tentative="0">
      <w:start w:val="1"/>
      <w:numFmt w:val="decimal"/>
      <w:lvlText w:val="%1."/>
      <w:lvlJc w:val="left"/>
      <w:pPr>
        <w:ind w:left="927" w:hanging="360"/>
      </w:pPr>
      <w:rPr>
        <w:rFonts w:hint="default"/>
        <w:b w:val="0"/>
      </w:rPr>
    </w:lvl>
    <w:lvl w:ilvl="1" w:tentative="0">
      <w:start w:val="1"/>
      <w:numFmt w:val="bullet"/>
      <w:lvlText w:val="o"/>
      <w:lvlJc w:val="left"/>
      <w:pPr>
        <w:ind w:left="1647" w:hanging="360"/>
      </w:pPr>
      <w:rPr>
        <w:rFonts w:hint="default" w:ascii="Courier New" w:hAnsi="Courier New" w:cs="Courier New"/>
      </w:rPr>
    </w:lvl>
    <w:lvl w:ilvl="2" w:tentative="0">
      <w:start w:val="1"/>
      <w:numFmt w:val="bullet"/>
      <w:lvlText w:val=""/>
      <w:lvlJc w:val="left"/>
      <w:pPr>
        <w:ind w:left="2367" w:hanging="360"/>
      </w:pPr>
      <w:rPr>
        <w:rFonts w:hint="default" w:ascii="Wingdings" w:hAnsi="Wingdings"/>
      </w:rPr>
    </w:lvl>
    <w:lvl w:ilvl="3" w:tentative="0">
      <w:start w:val="1"/>
      <w:numFmt w:val="bullet"/>
      <w:lvlText w:val=""/>
      <w:lvlJc w:val="left"/>
      <w:pPr>
        <w:ind w:left="3087" w:hanging="360"/>
      </w:pPr>
      <w:rPr>
        <w:rFonts w:hint="default" w:ascii="Symbol" w:hAnsi="Symbol"/>
      </w:rPr>
    </w:lvl>
    <w:lvl w:ilvl="4" w:tentative="0">
      <w:start w:val="1"/>
      <w:numFmt w:val="bullet"/>
      <w:lvlText w:val="o"/>
      <w:lvlJc w:val="left"/>
      <w:pPr>
        <w:ind w:left="3807" w:hanging="360"/>
      </w:pPr>
      <w:rPr>
        <w:rFonts w:hint="default" w:ascii="Courier New" w:hAnsi="Courier New" w:cs="Courier New"/>
      </w:rPr>
    </w:lvl>
    <w:lvl w:ilvl="5" w:tentative="0">
      <w:start w:val="1"/>
      <w:numFmt w:val="bullet"/>
      <w:lvlText w:val=""/>
      <w:lvlJc w:val="left"/>
      <w:pPr>
        <w:ind w:left="4527" w:hanging="360"/>
      </w:pPr>
      <w:rPr>
        <w:rFonts w:hint="default" w:ascii="Wingdings" w:hAnsi="Wingdings"/>
      </w:rPr>
    </w:lvl>
    <w:lvl w:ilvl="6" w:tentative="0">
      <w:start w:val="1"/>
      <w:numFmt w:val="bullet"/>
      <w:lvlText w:val=""/>
      <w:lvlJc w:val="left"/>
      <w:pPr>
        <w:ind w:left="5247" w:hanging="360"/>
      </w:pPr>
      <w:rPr>
        <w:rFonts w:hint="default" w:ascii="Symbol" w:hAnsi="Symbol"/>
      </w:rPr>
    </w:lvl>
    <w:lvl w:ilvl="7" w:tentative="0">
      <w:start w:val="1"/>
      <w:numFmt w:val="bullet"/>
      <w:lvlText w:val="o"/>
      <w:lvlJc w:val="left"/>
      <w:pPr>
        <w:ind w:left="5967" w:hanging="360"/>
      </w:pPr>
      <w:rPr>
        <w:rFonts w:hint="default" w:ascii="Courier New" w:hAnsi="Courier New" w:cs="Courier New"/>
      </w:rPr>
    </w:lvl>
    <w:lvl w:ilvl="8" w:tentative="0">
      <w:start w:val="1"/>
      <w:numFmt w:val="bullet"/>
      <w:lvlText w:val=""/>
      <w:lvlJc w:val="left"/>
      <w:pPr>
        <w:ind w:left="6687" w:hanging="360"/>
      </w:pPr>
      <w:rPr>
        <w:rFonts w:hint="default" w:ascii="Wingdings" w:hAnsi="Wingdings"/>
      </w:rPr>
    </w:lvl>
  </w:abstractNum>
  <w:abstractNum w:abstractNumId="14">
    <w:nsid w:val="11BC0C77"/>
    <w:multiLevelType w:val="multilevel"/>
    <w:tmpl w:val="11BC0C77"/>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11E07484"/>
    <w:multiLevelType w:val="multilevel"/>
    <w:tmpl w:val="11E07484"/>
    <w:lvl w:ilvl="0" w:tentative="0">
      <w:start w:val="8"/>
      <w:numFmt w:val="bullet"/>
      <w:lvlText w:val="-"/>
      <w:lvlJc w:val="left"/>
      <w:pPr>
        <w:ind w:left="720" w:hanging="360"/>
      </w:pPr>
      <w:rPr>
        <w:rFonts w:hint="default" w:ascii="Tahoma" w:hAnsi="Tahoma" w:cs="Tahoma" w:eastAsiaTheme="minorHAnsi"/>
      </w:rPr>
    </w:lvl>
    <w:lvl w:ilvl="1" w:tentative="0">
      <w:start w:val="8"/>
      <w:numFmt w:val="bullet"/>
      <w:lvlText w:val="-"/>
      <w:lvlJc w:val="left"/>
      <w:pPr>
        <w:ind w:left="1440" w:hanging="360"/>
      </w:pPr>
      <w:rPr>
        <w:rFonts w:hint="default" w:ascii="Tahoma" w:hAnsi="Tahoma" w:cs="Tahoma" w:eastAsiaTheme="minorHAnsi"/>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15661FC3"/>
    <w:multiLevelType w:val="multilevel"/>
    <w:tmpl w:val="15661FC3"/>
    <w:lvl w:ilvl="0" w:tentative="0">
      <w:start w:val="1"/>
      <w:numFmt w:val="lowerLetter"/>
      <w:lvlText w:val="%1."/>
      <w:lvlJc w:val="left"/>
      <w:pPr>
        <w:ind w:left="502" w:hanging="360"/>
      </w:pPr>
      <w:rPr>
        <w:rFonts w:hint="default"/>
        <w:b/>
      </w:rPr>
    </w:lvl>
    <w:lvl w:ilvl="1" w:tentative="0">
      <w:start w:val="1"/>
      <w:numFmt w:val="lowerLetter"/>
      <w:lvlText w:val="%2."/>
      <w:lvlJc w:val="left"/>
      <w:pPr>
        <w:ind w:left="1222" w:hanging="360"/>
      </w:pPr>
    </w:lvl>
    <w:lvl w:ilvl="2" w:tentative="0">
      <w:start w:val="1"/>
      <w:numFmt w:val="lowerRoman"/>
      <w:lvlText w:val="%3."/>
      <w:lvlJc w:val="right"/>
      <w:pPr>
        <w:ind w:left="1942" w:hanging="180"/>
      </w:pPr>
    </w:lvl>
    <w:lvl w:ilvl="3" w:tentative="0">
      <w:start w:val="1"/>
      <w:numFmt w:val="decimal"/>
      <w:lvlText w:val="%4."/>
      <w:lvlJc w:val="left"/>
      <w:pPr>
        <w:ind w:left="2662" w:hanging="360"/>
      </w:pPr>
    </w:lvl>
    <w:lvl w:ilvl="4" w:tentative="0">
      <w:start w:val="1"/>
      <w:numFmt w:val="lowerLetter"/>
      <w:lvlText w:val="%5."/>
      <w:lvlJc w:val="left"/>
      <w:pPr>
        <w:ind w:left="3382" w:hanging="360"/>
      </w:pPr>
    </w:lvl>
    <w:lvl w:ilvl="5" w:tentative="0">
      <w:start w:val="1"/>
      <w:numFmt w:val="lowerRoman"/>
      <w:lvlText w:val="%6."/>
      <w:lvlJc w:val="right"/>
      <w:pPr>
        <w:ind w:left="4102" w:hanging="180"/>
      </w:pPr>
    </w:lvl>
    <w:lvl w:ilvl="6" w:tentative="0">
      <w:start w:val="1"/>
      <w:numFmt w:val="decimal"/>
      <w:lvlText w:val="%7."/>
      <w:lvlJc w:val="left"/>
      <w:pPr>
        <w:ind w:left="4822" w:hanging="360"/>
      </w:pPr>
    </w:lvl>
    <w:lvl w:ilvl="7" w:tentative="0">
      <w:start w:val="1"/>
      <w:numFmt w:val="lowerLetter"/>
      <w:lvlText w:val="%8."/>
      <w:lvlJc w:val="left"/>
      <w:pPr>
        <w:ind w:left="5542" w:hanging="360"/>
      </w:pPr>
    </w:lvl>
    <w:lvl w:ilvl="8" w:tentative="0">
      <w:start w:val="1"/>
      <w:numFmt w:val="lowerRoman"/>
      <w:lvlText w:val="%9."/>
      <w:lvlJc w:val="right"/>
      <w:pPr>
        <w:ind w:left="6262" w:hanging="180"/>
      </w:pPr>
    </w:lvl>
  </w:abstractNum>
  <w:abstractNum w:abstractNumId="17">
    <w:nsid w:val="16B8396A"/>
    <w:multiLevelType w:val="multilevel"/>
    <w:tmpl w:val="16B8396A"/>
    <w:lvl w:ilvl="0" w:tentative="0">
      <w:start w:val="8"/>
      <w:numFmt w:val="bullet"/>
      <w:lvlText w:val="-"/>
      <w:lvlJc w:val="left"/>
      <w:pPr>
        <w:ind w:left="1210" w:hanging="360"/>
      </w:pPr>
      <w:rPr>
        <w:rFonts w:hint="default" w:ascii="Tahoma" w:hAnsi="Tahoma" w:cs="Tahoma" w:eastAsiaTheme="minorHAnsi"/>
      </w:rPr>
    </w:lvl>
    <w:lvl w:ilvl="1" w:tentative="0">
      <w:start w:val="1"/>
      <w:numFmt w:val="bullet"/>
      <w:lvlText w:val="o"/>
      <w:lvlJc w:val="left"/>
      <w:pPr>
        <w:ind w:left="1930" w:hanging="360"/>
      </w:pPr>
      <w:rPr>
        <w:rFonts w:hint="default" w:ascii="Courier New" w:hAnsi="Courier New" w:cs="Courier New"/>
      </w:rPr>
    </w:lvl>
    <w:lvl w:ilvl="2" w:tentative="0">
      <w:start w:val="1"/>
      <w:numFmt w:val="bullet"/>
      <w:lvlText w:val=""/>
      <w:lvlJc w:val="left"/>
      <w:pPr>
        <w:ind w:left="2650" w:hanging="360"/>
      </w:pPr>
      <w:rPr>
        <w:rFonts w:hint="default" w:ascii="Wingdings" w:hAnsi="Wingdings"/>
      </w:rPr>
    </w:lvl>
    <w:lvl w:ilvl="3" w:tentative="0">
      <w:start w:val="1"/>
      <w:numFmt w:val="bullet"/>
      <w:lvlText w:val=""/>
      <w:lvlJc w:val="left"/>
      <w:pPr>
        <w:ind w:left="3370" w:hanging="360"/>
      </w:pPr>
      <w:rPr>
        <w:rFonts w:hint="default" w:ascii="Symbol" w:hAnsi="Symbol"/>
      </w:rPr>
    </w:lvl>
    <w:lvl w:ilvl="4" w:tentative="0">
      <w:start w:val="1"/>
      <w:numFmt w:val="bullet"/>
      <w:lvlText w:val="o"/>
      <w:lvlJc w:val="left"/>
      <w:pPr>
        <w:ind w:left="4090" w:hanging="360"/>
      </w:pPr>
      <w:rPr>
        <w:rFonts w:hint="default" w:ascii="Courier New" w:hAnsi="Courier New" w:cs="Courier New"/>
      </w:rPr>
    </w:lvl>
    <w:lvl w:ilvl="5" w:tentative="0">
      <w:start w:val="1"/>
      <w:numFmt w:val="bullet"/>
      <w:lvlText w:val=""/>
      <w:lvlJc w:val="left"/>
      <w:pPr>
        <w:ind w:left="4810" w:hanging="360"/>
      </w:pPr>
      <w:rPr>
        <w:rFonts w:hint="default" w:ascii="Wingdings" w:hAnsi="Wingdings"/>
      </w:rPr>
    </w:lvl>
    <w:lvl w:ilvl="6" w:tentative="0">
      <w:start w:val="1"/>
      <w:numFmt w:val="bullet"/>
      <w:lvlText w:val=""/>
      <w:lvlJc w:val="left"/>
      <w:pPr>
        <w:ind w:left="5530" w:hanging="360"/>
      </w:pPr>
      <w:rPr>
        <w:rFonts w:hint="default" w:ascii="Symbol" w:hAnsi="Symbol"/>
      </w:rPr>
    </w:lvl>
    <w:lvl w:ilvl="7" w:tentative="0">
      <w:start w:val="1"/>
      <w:numFmt w:val="bullet"/>
      <w:lvlText w:val="o"/>
      <w:lvlJc w:val="left"/>
      <w:pPr>
        <w:ind w:left="6250" w:hanging="360"/>
      </w:pPr>
      <w:rPr>
        <w:rFonts w:hint="default" w:ascii="Courier New" w:hAnsi="Courier New" w:cs="Courier New"/>
      </w:rPr>
    </w:lvl>
    <w:lvl w:ilvl="8" w:tentative="0">
      <w:start w:val="1"/>
      <w:numFmt w:val="bullet"/>
      <w:lvlText w:val=""/>
      <w:lvlJc w:val="left"/>
      <w:pPr>
        <w:ind w:left="6970" w:hanging="360"/>
      </w:pPr>
      <w:rPr>
        <w:rFonts w:hint="default" w:ascii="Wingdings" w:hAnsi="Wingdings"/>
      </w:rPr>
    </w:lvl>
  </w:abstractNum>
  <w:abstractNum w:abstractNumId="18">
    <w:nsid w:val="17A42773"/>
    <w:multiLevelType w:val="multilevel"/>
    <w:tmpl w:val="17A42773"/>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9">
    <w:nsid w:val="193F460A"/>
    <w:multiLevelType w:val="multilevel"/>
    <w:tmpl w:val="193F460A"/>
    <w:lvl w:ilvl="0" w:tentative="0">
      <w:start w:val="1"/>
      <w:numFmt w:val="lowerLetter"/>
      <w:lvlText w:val="%1."/>
      <w:lvlJc w:val="left"/>
      <w:pPr>
        <w:ind w:left="502" w:hanging="360"/>
      </w:pPr>
      <w:rPr>
        <w:rFonts w:hint="default"/>
      </w:rPr>
    </w:lvl>
    <w:lvl w:ilvl="1" w:tentative="0">
      <w:start w:val="1"/>
      <w:numFmt w:val="bullet"/>
      <w:lvlText w:val="o"/>
      <w:lvlJc w:val="left"/>
      <w:pPr>
        <w:ind w:left="1222" w:hanging="360"/>
      </w:pPr>
      <w:rPr>
        <w:rFonts w:hint="default" w:ascii="Courier New" w:hAnsi="Courier New" w:cs="Courier New"/>
      </w:rPr>
    </w:lvl>
    <w:lvl w:ilvl="2" w:tentative="0">
      <w:start w:val="1"/>
      <w:numFmt w:val="bullet"/>
      <w:lvlText w:val=""/>
      <w:lvlJc w:val="left"/>
      <w:pPr>
        <w:ind w:left="1942" w:hanging="360"/>
      </w:pPr>
      <w:rPr>
        <w:rFonts w:hint="default" w:ascii="Wingdings" w:hAnsi="Wingdings"/>
      </w:rPr>
    </w:lvl>
    <w:lvl w:ilvl="3" w:tentative="0">
      <w:start w:val="1"/>
      <w:numFmt w:val="bullet"/>
      <w:lvlText w:val=""/>
      <w:lvlJc w:val="left"/>
      <w:pPr>
        <w:ind w:left="2662" w:hanging="360"/>
      </w:pPr>
      <w:rPr>
        <w:rFonts w:hint="default" w:ascii="Symbol" w:hAnsi="Symbol"/>
      </w:rPr>
    </w:lvl>
    <w:lvl w:ilvl="4" w:tentative="0">
      <w:start w:val="1"/>
      <w:numFmt w:val="bullet"/>
      <w:lvlText w:val="o"/>
      <w:lvlJc w:val="left"/>
      <w:pPr>
        <w:ind w:left="3382" w:hanging="360"/>
      </w:pPr>
      <w:rPr>
        <w:rFonts w:hint="default" w:ascii="Courier New" w:hAnsi="Courier New" w:cs="Courier New"/>
      </w:rPr>
    </w:lvl>
    <w:lvl w:ilvl="5" w:tentative="0">
      <w:start w:val="1"/>
      <w:numFmt w:val="bullet"/>
      <w:lvlText w:val=""/>
      <w:lvlJc w:val="left"/>
      <w:pPr>
        <w:ind w:left="4102" w:hanging="360"/>
      </w:pPr>
      <w:rPr>
        <w:rFonts w:hint="default" w:ascii="Wingdings" w:hAnsi="Wingdings"/>
      </w:rPr>
    </w:lvl>
    <w:lvl w:ilvl="6" w:tentative="0">
      <w:start w:val="1"/>
      <w:numFmt w:val="bullet"/>
      <w:lvlText w:val=""/>
      <w:lvlJc w:val="left"/>
      <w:pPr>
        <w:ind w:left="4822" w:hanging="360"/>
      </w:pPr>
      <w:rPr>
        <w:rFonts w:hint="default" w:ascii="Symbol" w:hAnsi="Symbol"/>
      </w:rPr>
    </w:lvl>
    <w:lvl w:ilvl="7" w:tentative="0">
      <w:start w:val="1"/>
      <w:numFmt w:val="bullet"/>
      <w:lvlText w:val="o"/>
      <w:lvlJc w:val="left"/>
      <w:pPr>
        <w:ind w:left="5542" w:hanging="360"/>
      </w:pPr>
      <w:rPr>
        <w:rFonts w:hint="default" w:ascii="Courier New" w:hAnsi="Courier New" w:cs="Courier New"/>
      </w:rPr>
    </w:lvl>
    <w:lvl w:ilvl="8" w:tentative="0">
      <w:start w:val="1"/>
      <w:numFmt w:val="bullet"/>
      <w:lvlText w:val=""/>
      <w:lvlJc w:val="left"/>
      <w:pPr>
        <w:ind w:left="6262" w:hanging="360"/>
      </w:pPr>
      <w:rPr>
        <w:rFonts w:hint="default" w:ascii="Wingdings" w:hAnsi="Wingdings"/>
      </w:rPr>
    </w:lvl>
  </w:abstractNum>
  <w:abstractNum w:abstractNumId="20">
    <w:nsid w:val="19E76706"/>
    <w:multiLevelType w:val="multilevel"/>
    <w:tmpl w:val="19E76706"/>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1A41701C"/>
    <w:multiLevelType w:val="multilevel"/>
    <w:tmpl w:val="1A41701C"/>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1AF90772"/>
    <w:multiLevelType w:val="multilevel"/>
    <w:tmpl w:val="1AF90772"/>
    <w:lvl w:ilvl="0" w:tentative="0">
      <w:start w:val="1"/>
      <w:numFmt w:val="bullet"/>
      <w:lvlText w:val=""/>
      <w:lvlJc w:val="left"/>
      <w:pPr>
        <w:ind w:left="720" w:hanging="360"/>
      </w:pPr>
      <w:rPr>
        <w:rFonts w:hint="default" w:ascii="Wingdings" w:hAnsi="Wingdings"/>
        <w:color w:val="auto"/>
        <w:lang w:val="es-C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1C40084D"/>
    <w:multiLevelType w:val="multilevel"/>
    <w:tmpl w:val="1C40084D"/>
    <w:lvl w:ilvl="0" w:tentative="0">
      <w:start w:val="1"/>
      <w:numFmt w:val="bullet"/>
      <w:lvlText w:val=""/>
      <w:lvlJc w:val="left"/>
      <w:pPr>
        <w:ind w:left="1440" w:hanging="360"/>
      </w:pPr>
      <w:rPr>
        <w:rFonts w:hint="default" w:ascii="Wingdings" w:hAnsi="Wingdings"/>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24">
    <w:nsid w:val="1C441DC4"/>
    <w:multiLevelType w:val="multilevel"/>
    <w:tmpl w:val="1C441DC4"/>
    <w:lvl w:ilvl="0" w:tentative="0">
      <w:start w:val="1"/>
      <w:numFmt w:val="bullet"/>
      <w:lvlText w:val=""/>
      <w:lvlJc w:val="left"/>
      <w:pPr>
        <w:ind w:left="785" w:hanging="360"/>
      </w:pPr>
      <w:rPr>
        <w:rFonts w:hint="default" w:ascii="Wingdings" w:hAnsi="Wingdings"/>
      </w:rPr>
    </w:lvl>
    <w:lvl w:ilvl="1" w:tentative="0">
      <w:start w:val="1"/>
      <w:numFmt w:val="bullet"/>
      <w:lvlText w:val="o"/>
      <w:lvlJc w:val="left"/>
      <w:pPr>
        <w:ind w:left="1505" w:hanging="360"/>
      </w:pPr>
      <w:rPr>
        <w:rFonts w:hint="default" w:ascii="Courier New" w:hAnsi="Courier New" w:cs="Courier New"/>
      </w:rPr>
    </w:lvl>
    <w:lvl w:ilvl="2" w:tentative="0">
      <w:start w:val="1"/>
      <w:numFmt w:val="bullet"/>
      <w:lvlText w:val=""/>
      <w:lvlJc w:val="left"/>
      <w:pPr>
        <w:ind w:left="2225" w:hanging="360"/>
      </w:pPr>
      <w:rPr>
        <w:rFonts w:hint="default" w:ascii="Wingdings" w:hAnsi="Wingdings"/>
      </w:rPr>
    </w:lvl>
    <w:lvl w:ilvl="3" w:tentative="0">
      <w:start w:val="1"/>
      <w:numFmt w:val="bullet"/>
      <w:lvlText w:val=""/>
      <w:lvlJc w:val="left"/>
      <w:pPr>
        <w:ind w:left="2945" w:hanging="360"/>
      </w:pPr>
      <w:rPr>
        <w:rFonts w:hint="default" w:ascii="Symbol" w:hAnsi="Symbol"/>
      </w:rPr>
    </w:lvl>
    <w:lvl w:ilvl="4" w:tentative="0">
      <w:start w:val="1"/>
      <w:numFmt w:val="bullet"/>
      <w:lvlText w:val="o"/>
      <w:lvlJc w:val="left"/>
      <w:pPr>
        <w:ind w:left="3665" w:hanging="360"/>
      </w:pPr>
      <w:rPr>
        <w:rFonts w:hint="default" w:ascii="Courier New" w:hAnsi="Courier New" w:cs="Courier New"/>
      </w:rPr>
    </w:lvl>
    <w:lvl w:ilvl="5" w:tentative="0">
      <w:start w:val="1"/>
      <w:numFmt w:val="bullet"/>
      <w:lvlText w:val=""/>
      <w:lvlJc w:val="left"/>
      <w:pPr>
        <w:ind w:left="4385" w:hanging="360"/>
      </w:pPr>
      <w:rPr>
        <w:rFonts w:hint="default" w:ascii="Wingdings" w:hAnsi="Wingdings"/>
      </w:rPr>
    </w:lvl>
    <w:lvl w:ilvl="6" w:tentative="0">
      <w:start w:val="1"/>
      <w:numFmt w:val="bullet"/>
      <w:lvlText w:val=""/>
      <w:lvlJc w:val="left"/>
      <w:pPr>
        <w:ind w:left="5105" w:hanging="360"/>
      </w:pPr>
      <w:rPr>
        <w:rFonts w:hint="default" w:ascii="Symbol" w:hAnsi="Symbol"/>
      </w:rPr>
    </w:lvl>
    <w:lvl w:ilvl="7" w:tentative="0">
      <w:start w:val="1"/>
      <w:numFmt w:val="bullet"/>
      <w:lvlText w:val="o"/>
      <w:lvlJc w:val="left"/>
      <w:pPr>
        <w:ind w:left="5825" w:hanging="360"/>
      </w:pPr>
      <w:rPr>
        <w:rFonts w:hint="default" w:ascii="Courier New" w:hAnsi="Courier New" w:cs="Courier New"/>
      </w:rPr>
    </w:lvl>
    <w:lvl w:ilvl="8" w:tentative="0">
      <w:start w:val="1"/>
      <w:numFmt w:val="bullet"/>
      <w:lvlText w:val=""/>
      <w:lvlJc w:val="left"/>
      <w:pPr>
        <w:ind w:left="6545" w:hanging="360"/>
      </w:pPr>
      <w:rPr>
        <w:rFonts w:hint="default" w:ascii="Wingdings" w:hAnsi="Wingdings"/>
      </w:rPr>
    </w:lvl>
  </w:abstractNum>
  <w:abstractNum w:abstractNumId="25">
    <w:nsid w:val="1DCB30E1"/>
    <w:multiLevelType w:val="multilevel"/>
    <w:tmpl w:val="1DCB30E1"/>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1E47361C"/>
    <w:multiLevelType w:val="multilevel"/>
    <w:tmpl w:val="1E47361C"/>
    <w:lvl w:ilvl="0" w:tentative="0">
      <w:start w:val="1"/>
      <w:numFmt w:val="bullet"/>
      <w:lvlText w:val=""/>
      <w:lvlJc w:val="left"/>
      <w:pPr>
        <w:ind w:left="1211" w:hanging="360"/>
      </w:pPr>
      <w:rPr>
        <w:rFonts w:hint="default" w:ascii="Wingdings" w:hAnsi="Wingdings"/>
      </w:rPr>
    </w:lvl>
    <w:lvl w:ilvl="1" w:tentative="0">
      <w:start w:val="1"/>
      <w:numFmt w:val="bullet"/>
      <w:lvlText w:val="o"/>
      <w:lvlJc w:val="left"/>
      <w:pPr>
        <w:ind w:left="1931" w:hanging="360"/>
      </w:pPr>
      <w:rPr>
        <w:rFonts w:hint="default" w:ascii="Courier New" w:hAnsi="Courier New" w:cs="Courier New"/>
      </w:rPr>
    </w:lvl>
    <w:lvl w:ilvl="2" w:tentative="0">
      <w:start w:val="1"/>
      <w:numFmt w:val="bullet"/>
      <w:lvlText w:val=""/>
      <w:lvlJc w:val="left"/>
      <w:pPr>
        <w:ind w:left="2651" w:hanging="360"/>
      </w:pPr>
      <w:rPr>
        <w:rFonts w:hint="default" w:ascii="Wingdings" w:hAnsi="Wingdings"/>
      </w:rPr>
    </w:lvl>
    <w:lvl w:ilvl="3" w:tentative="0">
      <w:start w:val="1"/>
      <w:numFmt w:val="bullet"/>
      <w:lvlText w:val=""/>
      <w:lvlJc w:val="left"/>
      <w:pPr>
        <w:ind w:left="3371" w:hanging="360"/>
      </w:pPr>
      <w:rPr>
        <w:rFonts w:hint="default" w:ascii="Symbol" w:hAnsi="Symbol"/>
      </w:rPr>
    </w:lvl>
    <w:lvl w:ilvl="4" w:tentative="0">
      <w:start w:val="1"/>
      <w:numFmt w:val="bullet"/>
      <w:lvlText w:val="o"/>
      <w:lvlJc w:val="left"/>
      <w:pPr>
        <w:ind w:left="4091" w:hanging="360"/>
      </w:pPr>
      <w:rPr>
        <w:rFonts w:hint="default" w:ascii="Courier New" w:hAnsi="Courier New" w:cs="Courier New"/>
      </w:rPr>
    </w:lvl>
    <w:lvl w:ilvl="5" w:tentative="0">
      <w:start w:val="1"/>
      <w:numFmt w:val="bullet"/>
      <w:lvlText w:val=""/>
      <w:lvlJc w:val="left"/>
      <w:pPr>
        <w:ind w:left="4811" w:hanging="360"/>
      </w:pPr>
      <w:rPr>
        <w:rFonts w:hint="default" w:ascii="Wingdings" w:hAnsi="Wingdings"/>
      </w:rPr>
    </w:lvl>
    <w:lvl w:ilvl="6" w:tentative="0">
      <w:start w:val="1"/>
      <w:numFmt w:val="bullet"/>
      <w:lvlText w:val=""/>
      <w:lvlJc w:val="left"/>
      <w:pPr>
        <w:ind w:left="5531" w:hanging="360"/>
      </w:pPr>
      <w:rPr>
        <w:rFonts w:hint="default" w:ascii="Symbol" w:hAnsi="Symbol"/>
      </w:rPr>
    </w:lvl>
    <w:lvl w:ilvl="7" w:tentative="0">
      <w:start w:val="1"/>
      <w:numFmt w:val="bullet"/>
      <w:lvlText w:val="o"/>
      <w:lvlJc w:val="left"/>
      <w:pPr>
        <w:ind w:left="6251" w:hanging="360"/>
      </w:pPr>
      <w:rPr>
        <w:rFonts w:hint="default" w:ascii="Courier New" w:hAnsi="Courier New" w:cs="Courier New"/>
      </w:rPr>
    </w:lvl>
    <w:lvl w:ilvl="8" w:tentative="0">
      <w:start w:val="1"/>
      <w:numFmt w:val="bullet"/>
      <w:lvlText w:val=""/>
      <w:lvlJc w:val="left"/>
      <w:pPr>
        <w:ind w:left="6971" w:hanging="360"/>
      </w:pPr>
      <w:rPr>
        <w:rFonts w:hint="default" w:ascii="Wingdings" w:hAnsi="Wingdings"/>
      </w:rPr>
    </w:lvl>
  </w:abstractNum>
  <w:abstractNum w:abstractNumId="27">
    <w:nsid w:val="1EDE55D3"/>
    <w:multiLevelType w:val="multilevel"/>
    <w:tmpl w:val="1EDE55D3"/>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8">
    <w:nsid w:val="21F86CBF"/>
    <w:multiLevelType w:val="multilevel"/>
    <w:tmpl w:val="21F86CBF"/>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26082E08"/>
    <w:multiLevelType w:val="multilevel"/>
    <w:tmpl w:val="26082E08"/>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0">
    <w:nsid w:val="270B1910"/>
    <w:multiLevelType w:val="multilevel"/>
    <w:tmpl w:val="270B1910"/>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1">
    <w:nsid w:val="28B31485"/>
    <w:multiLevelType w:val="multilevel"/>
    <w:tmpl w:val="28B31485"/>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2">
    <w:nsid w:val="28CE1E88"/>
    <w:multiLevelType w:val="multilevel"/>
    <w:tmpl w:val="28CE1E88"/>
    <w:lvl w:ilvl="0" w:tentative="0">
      <w:start w:val="1"/>
      <w:numFmt w:val="bullet"/>
      <w:lvlText w:val=""/>
      <w:lvlJc w:val="left"/>
      <w:pPr>
        <w:ind w:left="720" w:hanging="360"/>
      </w:pPr>
      <w:rPr>
        <w:rFonts w:hint="default" w:ascii="Wingdings" w:hAnsi="Wingdings"/>
      </w:rPr>
    </w:lvl>
    <w:lvl w:ilvl="1" w:tentative="0">
      <w:start w:val="0"/>
      <w:numFmt w:val="bullet"/>
      <w:lvlText w:val=""/>
      <w:lvlJc w:val="left"/>
      <w:pPr>
        <w:ind w:left="1440" w:hanging="360"/>
      </w:pPr>
      <w:rPr>
        <w:rFonts w:hint="default" w:ascii="Century Gothic" w:hAnsi="Century Gothic" w:eastAsia="SymbolMT" w:cs="Arial"/>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2B481B06"/>
    <w:multiLevelType w:val="multilevel"/>
    <w:tmpl w:val="2B481B06"/>
    <w:lvl w:ilvl="0" w:tentative="0">
      <w:start w:val="1"/>
      <w:numFmt w:val="lowerLetter"/>
      <w:lvlText w:val="%1."/>
      <w:lvlJc w:val="left"/>
      <w:pPr>
        <w:ind w:left="360" w:hanging="360"/>
      </w:pPr>
      <w:rPr>
        <w:rFonts w:hint="default"/>
      </w:rPr>
    </w:lvl>
    <w:lvl w:ilvl="1" w:tentative="0">
      <w:start w:val="1"/>
      <w:numFmt w:val="lowerLetter"/>
      <w:lvlText w:val="%2."/>
      <w:lvlJc w:val="left"/>
      <w:pPr>
        <w:ind w:left="360" w:hanging="360"/>
      </w:pPr>
      <w:rPr>
        <w:rFonts w:hint="default" w:ascii="Century Gothic" w:hAnsi="Century Gothic"/>
        <w:b/>
        <w:sz w:val="22"/>
        <w:szCs w:val="22"/>
      </w:r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34">
    <w:nsid w:val="2B6202B6"/>
    <w:multiLevelType w:val="multilevel"/>
    <w:tmpl w:val="2B6202B6"/>
    <w:lvl w:ilvl="0" w:tentative="0">
      <w:start w:val="1"/>
      <w:numFmt w:val="bullet"/>
      <w:lvlText w:val=""/>
      <w:lvlJc w:val="left"/>
      <w:pPr>
        <w:ind w:left="927"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5">
    <w:nsid w:val="2BB92272"/>
    <w:multiLevelType w:val="multilevel"/>
    <w:tmpl w:val="2BB92272"/>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6">
    <w:nsid w:val="2DB82708"/>
    <w:multiLevelType w:val="multilevel"/>
    <w:tmpl w:val="2DB82708"/>
    <w:lvl w:ilvl="0" w:tentative="0">
      <w:start w:val="1"/>
      <w:numFmt w:val="bullet"/>
      <w:lvlText w:val=""/>
      <w:lvlJc w:val="left"/>
      <w:pPr>
        <w:ind w:left="502" w:hanging="360"/>
      </w:pPr>
      <w:rPr>
        <w:rFonts w:hint="default" w:ascii="Wingdings" w:hAnsi="Wingdings"/>
      </w:rPr>
    </w:lvl>
    <w:lvl w:ilvl="1" w:tentative="0">
      <w:start w:val="1"/>
      <w:numFmt w:val="bullet"/>
      <w:lvlText w:val="o"/>
      <w:lvlJc w:val="left"/>
      <w:pPr>
        <w:ind w:left="1222" w:hanging="360"/>
      </w:pPr>
      <w:rPr>
        <w:rFonts w:hint="default" w:ascii="Courier New" w:hAnsi="Courier New" w:cs="Courier New"/>
      </w:rPr>
    </w:lvl>
    <w:lvl w:ilvl="2" w:tentative="0">
      <w:start w:val="1"/>
      <w:numFmt w:val="bullet"/>
      <w:lvlText w:val=""/>
      <w:lvlJc w:val="left"/>
      <w:pPr>
        <w:ind w:left="1942" w:hanging="360"/>
      </w:pPr>
      <w:rPr>
        <w:rFonts w:hint="default" w:ascii="Wingdings" w:hAnsi="Wingdings"/>
      </w:rPr>
    </w:lvl>
    <w:lvl w:ilvl="3" w:tentative="0">
      <w:start w:val="1"/>
      <w:numFmt w:val="bullet"/>
      <w:lvlText w:val=""/>
      <w:lvlJc w:val="left"/>
      <w:pPr>
        <w:ind w:left="2662" w:hanging="360"/>
      </w:pPr>
      <w:rPr>
        <w:rFonts w:hint="default" w:ascii="Symbol" w:hAnsi="Symbol"/>
      </w:rPr>
    </w:lvl>
    <w:lvl w:ilvl="4" w:tentative="0">
      <w:start w:val="1"/>
      <w:numFmt w:val="bullet"/>
      <w:lvlText w:val="o"/>
      <w:lvlJc w:val="left"/>
      <w:pPr>
        <w:ind w:left="3382" w:hanging="360"/>
      </w:pPr>
      <w:rPr>
        <w:rFonts w:hint="default" w:ascii="Courier New" w:hAnsi="Courier New" w:cs="Courier New"/>
      </w:rPr>
    </w:lvl>
    <w:lvl w:ilvl="5" w:tentative="0">
      <w:start w:val="1"/>
      <w:numFmt w:val="bullet"/>
      <w:lvlText w:val=""/>
      <w:lvlJc w:val="left"/>
      <w:pPr>
        <w:ind w:left="4102" w:hanging="360"/>
      </w:pPr>
      <w:rPr>
        <w:rFonts w:hint="default" w:ascii="Wingdings" w:hAnsi="Wingdings"/>
      </w:rPr>
    </w:lvl>
    <w:lvl w:ilvl="6" w:tentative="0">
      <w:start w:val="1"/>
      <w:numFmt w:val="bullet"/>
      <w:lvlText w:val=""/>
      <w:lvlJc w:val="left"/>
      <w:pPr>
        <w:ind w:left="4822" w:hanging="360"/>
      </w:pPr>
      <w:rPr>
        <w:rFonts w:hint="default" w:ascii="Symbol" w:hAnsi="Symbol"/>
      </w:rPr>
    </w:lvl>
    <w:lvl w:ilvl="7" w:tentative="0">
      <w:start w:val="1"/>
      <w:numFmt w:val="bullet"/>
      <w:lvlText w:val="o"/>
      <w:lvlJc w:val="left"/>
      <w:pPr>
        <w:ind w:left="5542" w:hanging="360"/>
      </w:pPr>
      <w:rPr>
        <w:rFonts w:hint="default" w:ascii="Courier New" w:hAnsi="Courier New" w:cs="Courier New"/>
      </w:rPr>
    </w:lvl>
    <w:lvl w:ilvl="8" w:tentative="0">
      <w:start w:val="1"/>
      <w:numFmt w:val="bullet"/>
      <w:lvlText w:val=""/>
      <w:lvlJc w:val="left"/>
      <w:pPr>
        <w:ind w:left="6262" w:hanging="360"/>
      </w:pPr>
      <w:rPr>
        <w:rFonts w:hint="default" w:ascii="Wingdings" w:hAnsi="Wingdings"/>
      </w:rPr>
    </w:lvl>
  </w:abstractNum>
  <w:abstractNum w:abstractNumId="37">
    <w:nsid w:val="2FA74850"/>
    <w:multiLevelType w:val="multilevel"/>
    <w:tmpl w:val="2FA74850"/>
    <w:lvl w:ilvl="0" w:tentative="0">
      <w:start w:val="1"/>
      <w:numFmt w:val="bullet"/>
      <w:lvlText w:val=""/>
      <w:lvlJc w:val="left"/>
      <w:pPr>
        <w:ind w:left="502" w:hanging="360"/>
      </w:pPr>
      <w:rPr>
        <w:rFonts w:hint="default" w:ascii="Wingdings" w:hAnsi="Wingdings"/>
      </w:rPr>
    </w:lvl>
    <w:lvl w:ilvl="1" w:tentative="0">
      <w:start w:val="1"/>
      <w:numFmt w:val="bullet"/>
      <w:lvlText w:val="o"/>
      <w:lvlJc w:val="left"/>
      <w:pPr>
        <w:ind w:left="1222" w:hanging="360"/>
      </w:pPr>
      <w:rPr>
        <w:rFonts w:hint="default" w:ascii="Courier New" w:hAnsi="Courier New" w:cs="Courier New"/>
      </w:rPr>
    </w:lvl>
    <w:lvl w:ilvl="2" w:tentative="0">
      <w:start w:val="1"/>
      <w:numFmt w:val="bullet"/>
      <w:lvlText w:val=""/>
      <w:lvlJc w:val="left"/>
      <w:pPr>
        <w:ind w:left="1942" w:hanging="360"/>
      </w:pPr>
      <w:rPr>
        <w:rFonts w:hint="default" w:ascii="Wingdings" w:hAnsi="Wingdings"/>
      </w:rPr>
    </w:lvl>
    <w:lvl w:ilvl="3" w:tentative="0">
      <w:start w:val="1"/>
      <w:numFmt w:val="bullet"/>
      <w:lvlText w:val=""/>
      <w:lvlJc w:val="left"/>
      <w:pPr>
        <w:ind w:left="2662" w:hanging="360"/>
      </w:pPr>
      <w:rPr>
        <w:rFonts w:hint="default" w:ascii="Symbol" w:hAnsi="Symbol"/>
      </w:rPr>
    </w:lvl>
    <w:lvl w:ilvl="4" w:tentative="0">
      <w:start w:val="1"/>
      <w:numFmt w:val="bullet"/>
      <w:lvlText w:val="o"/>
      <w:lvlJc w:val="left"/>
      <w:pPr>
        <w:ind w:left="3382" w:hanging="360"/>
      </w:pPr>
      <w:rPr>
        <w:rFonts w:hint="default" w:ascii="Courier New" w:hAnsi="Courier New" w:cs="Courier New"/>
      </w:rPr>
    </w:lvl>
    <w:lvl w:ilvl="5" w:tentative="0">
      <w:start w:val="1"/>
      <w:numFmt w:val="bullet"/>
      <w:lvlText w:val=""/>
      <w:lvlJc w:val="left"/>
      <w:pPr>
        <w:ind w:left="4102" w:hanging="360"/>
      </w:pPr>
      <w:rPr>
        <w:rFonts w:hint="default" w:ascii="Wingdings" w:hAnsi="Wingdings"/>
      </w:rPr>
    </w:lvl>
    <w:lvl w:ilvl="6" w:tentative="0">
      <w:start w:val="1"/>
      <w:numFmt w:val="bullet"/>
      <w:lvlText w:val=""/>
      <w:lvlJc w:val="left"/>
      <w:pPr>
        <w:ind w:left="4822" w:hanging="360"/>
      </w:pPr>
      <w:rPr>
        <w:rFonts w:hint="default" w:ascii="Symbol" w:hAnsi="Symbol"/>
      </w:rPr>
    </w:lvl>
    <w:lvl w:ilvl="7" w:tentative="0">
      <w:start w:val="1"/>
      <w:numFmt w:val="bullet"/>
      <w:lvlText w:val="o"/>
      <w:lvlJc w:val="left"/>
      <w:pPr>
        <w:ind w:left="5542" w:hanging="360"/>
      </w:pPr>
      <w:rPr>
        <w:rFonts w:hint="default" w:ascii="Courier New" w:hAnsi="Courier New" w:cs="Courier New"/>
      </w:rPr>
    </w:lvl>
    <w:lvl w:ilvl="8" w:tentative="0">
      <w:start w:val="1"/>
      <w:numFmt w:val="bullet"/>
      <w:lvlText w:val=""/>
      <w:lvlJc w:val="left"/>
      <w:pPr>
        <w:ind w:left="6262" w:hanging="360"/>
      </w:pPr>
      <w:rPr>
        <w:rFonts w:hint="default" w:ascii="Wingdings" w:hAnsi="Wingdings"/>
      </w:rPr>
    </w:lvl>
  </w:abstractNum>
  <w:abstractNum w:abstractNumId="38">
    <w:nsid w:val="2FC55EFB"/>
    <w:multiLevelType w:val="multilevel"/>
    <w:tmpl w:val="2FC55EFB"/>
    <w:lvl w:ilvl="0" w:tentative="0">
      <w:start w:val="1"/>
      <w:numFmt w:val="decimal"/>
      <w:lvlText w:val="%1."/>
      <w:lvlJc w:val="left"/>
      <w:pPr>
        <w:ind w:left="927" w:hanging="360"/>
      </w:pPr>
    </w:lvl>
    <w:lvl w:ilvl="1" w:tentative="0">
      <w:start w:val="1"/>
      <w:numFmt w:val="lowerLetter"/>
      <w:lvlText w:val="%2."/>
      <w:lvlJc w:val="left"/>
      <w:pPr>
        <w:ind w:left="1647" w:hanging="360"/>
      </w:pPr>
    </w:lvl>
    <w:lvl w:ilvl="2" w:tentative="0">
      <w:start w:val="1"/>
      <w:numFmt w:val="lowerRoman"/>
      <w:lvlText w:val="%3."/>
      <w:lvlJc w:val="right"/>
      <w:pPr>
        <w:ind w:left="2367" w:hanging="180"/>
      </w:pPr>
    </w:lvl>
    <w:lvl w:ilvl="3" w:tentative="0">
      <w:start w:val="1"/>
      <w:numFmt w:val="decimal"/>
      <w:lvlText w:val="%4."/>
      <w:lvlJc w:val="left"/>
      <w:pPr>
        <w:ind w:left="3087" w:hanging="360"/>
      </w:pPr>
    </w:lvl>
    <w:lvl w:ilvl="4" w:tentative="0">
      <w:start w:val="1"/>
      <w:numFmt w:val="lowerLetter"/>
      <w:lvlText w:val="%5."/>
      <w:lvlJc w:val="left"/>
      <w:pPr>
        <w:ind w:left="3807" w:hanging="360"/>
      </w:pPr>
    </w:lvl>
    <w:lvl w:ilvl="5" w:tentative="0">
      <w:start w:val="1"/>
      <w:numFmt w:val="lowerRoman"/>
      <w:lvlText w:val="%6."/>
      <w:lvlJc w:val="right"/>
      <w:pPr>
        <w:ind w:left="4527" w:hanging="180"/>
      </w:pPr>
    </w:lvl>
    <w:lvl w:ilvl="6" w:tentative="0">
      <w:start w:val="1"/>
      <w:numFmt w:val="decimal"/>
      <w:lvlText w:val="%7."/>
      <w:lvlJc w:val="left"/>
      <w:pPr>
        <w:ind w:left="5247" w:hanging="360"/>
      </w:pPr>
    </w:lvl>
    <w:lvl w:ilvl="7" w:tentative="0">
      <w:start w:val="1"/>
      <w:numFmt w:val="lowerLetter"/>
      <w:lvlText w:val="%8."/>
      <w:lvlJc w:val="left"/>
      <w:pPr>
        <w:ind w:left="5967" w:hanging="360"/>
      </w:pPr>
    </w:lvl>
    <w:lvl w:ilvl="8" w:tentative="0">
      <w:start w:val="1"/>
      <w:numFmt w:val="lowerRoman"/>
      <w:lvlText w:val="%9."/>
      <w:lvlJc w:val="right"/>
      <w:pPr>
        <w:ind w:left="6687" w:hanging="180"/>
      </w:pPr>
    </w:lvl>
  </w:abstractNum>
  <w:abstractNum w:abstractNumId="39">
    <w:nsid w:val="3026590F"/>
    <w:multiLevelType w:val="multilevel"/>
    <w:tmpl w:val="3026590F"/>
    <w:lvl w:ilvl="0" w:tentative="0">
      <w:start w:val="1"/>
      <w:numFmt w:val="bullet"/>
      <w:lvlText w:val=""/>
      <w:lvlJc w:val="left"/>
      <w:pPr>
        <w:ind w:left="785" w:hanging="360"/>
      </w:pPr>
      <w:rPr>
        <w:rFonts w:hint="default" w:ascii="Wingdings" w:hAnsi="Wingdings"/>
      </w:rPr>
    </w:lvl>
    <w:lvl w:ilvl="1" w:tentative="0">
      <w:start w:val="1"/>
      <w:numFmt w:val="bullet"/>
      <w:lvlText w:val="o"/>
      <w:lvlJc w:val="left"/>
      <w:pPr>
        <w:ind w:left="1505" w:hanging="360"/>
      </w:pPr>
      <w:rPr>
        <w:rFonts w:hint="default" w:ascii="Courier New" w:hAnsi="Courier New" w:cs="Courier New"/>
      </w:rPr>
    </w:lvl>
    <w:lvl w:ilvl="2" w:tentative="0">
      <w:start w:val="1"/>
      <w:numFmt w:val="bullet"/>
      <w:lvlText w:val=""/>
      <w:lvlJc w:val="left"/>
      <w:pPr>
        <w:ind w:left="2225" w:hanging="360"/>
      </w:pPr>
      <w:rPr>
        <w:rFonts w:hint="default" w:ascii="Wingdings" w:hAnsi="Wingdings"/>
      </w:rPr>
    </w:lvl>
    <w:lvl w:ilvl="3" w:tentative="0">
      <w:start w:val="1"/>
      <w:numFmt w:val="bullet"/>
      <w:lvlText w:val=""/>
      <w:lvlJc w:val="left"/>
      <w:pPr>
        <w:ind w:left="2945" w:hanging="360"/>
      </w:pPr>
      <w:rPr>
        <w:rFonts w:hint="default" w:ascii="Symbol" w:hAnsi="Symbol"/>
      </w:rPr>
    </w:lvl>
    <w:lvl w:ilvl="4" w:tentative="0">
      <w:start w:val="1"/>
      <w:numFmt w:val="bullet"/>
      <w:lvlText w:val="o"/>
      <w:lvlJc w:val="left"/>
      <w:pPr>
        <w:ind w:left="3665" w:hanging="360"/>
      </w:pPr>
      <w:rPr>
        <w:rFonts w:hint="default" w:ascii="Courier New" w:hAnsi="Courier New" w:cs="Courier New"/>
      </w:rPr>
    </w:lvl>
    <w:lvl w:ilvl="5" w:tentative="0">
      <w:start w:val="1"/>
      <w:numFmt w:val="bullet"/>
      <w:lvlText w:val=""/>
      <w:lvlJc w:val="left"/>
      <w:pPr>
        <w:ind w:left="4385" w:hanging="360"/>
      </w:pPr>
      <w:rPr>
        <w:rFonts w:hint="default" w:ascii="Wingdings" w:hAnsi="Wingdings"/>
      </w:rPr>
    </w:lvl>
    <w:lvl w:ilvl="6" w:tentative="0">
      <w:start w:val="1"/>
      <w:numFmt w:val="bullet"/>
      <w:lvlText w:val=""/>
      <w:lvlJc w:val="left"/>
      <w:pPr>
        <w:ind w:left="5105" w:hanging="360"/>
      </w:pPr>
      <w:rPr>
        <w:rFonts w:hint="default" w:ascii="Symbol" w:hAnsi="Symbol"/>
      </w:rPr>
    </w:lvl>
    <w:lvl w:ilvl="7" w:tentative="0">
      <w:start w:val="1"/>
      <w:numFmt w:val="bullet"/>
      <w:lvlText w:val="o"/>
      <w:lvlJc w:val="left"/>
      <w:pPr>
        <w:ind w:left="5825" w:hanging="360"/>
      </w:pPr>
      <w:rPr>
        <w:rFonts w:hint="default" w:ascii="Courier New" w:hAnsi="Courier New" w:cs="Courier New"/>
      </w:rPr>
    </w:lvl>
    <w:lvl w:ilvl="8" w:tentative="0">
      <w:start w:val="1"/>
      <w:numFmt w:val="bullet"/>
      <w:lvlText w:val=""/>
      <w:lvlJc w:val="left"/>
      <w:pPr>
        <w:ind w:left="6545" w:hanging="360"/>
      </w:pPr>
      <w:rPr>
        <w:rFonts w:hint="default" w:ascii="Wingdings" w:hAnsi="Wingdings"/>
      </w:rPr>
    </w:lvl>
  </w:abstractNum>
  <w:abstractNum w:abstractNumId="40">
    <w:nsid w:val="303E06B7"/>
    <w:multiLevelType w:val="multilevel"/>
    <w:tmpl w:val="303E06B7"/>
    <w:lvl w:ilvl="0" w:tentative="0">
      <w:start w:val="1"/>
      <w:numFmt w:val="bullet"/>
      <w:lvlText w:val=""/>
      <w:lvlJc w:val="left"/>
      <w:pPr>
        <w:ind w:left="785" w:hanging="360"/>
      </w:pPr>
      <w:rPr>
        <w:rFonts w:hint="default" w:ascii="Wingdings" w:hAnsi="Wingdings"/>
      </w:rPr>
    </w:lvl>
    <w:lvl w:ilvl="1" w:tentative="0">
      <w:start w:val="1"/>
      <w:numFmt w:val="bullet"/>
      <w:lvlText w:val="o"/>
      <w:lvlJc w:val="left"/>
      <w:pPr>
        <w:ind w:left="2214" w:hanging="360"/>
      </w:pPr>
      <w:rPr>
        <w:rFonts w:hint="default" w:ascii="Courier New" w:hAnsi="Courier New" w:cs="Courier New"/>
      </w:rPr>
    </w:lvl>
    <w:lvl w:ilvl="2" w:tentative="0">
      <w:start w:val="1"/>
      <w:numFmt w:val="bullet"/>
      <w:lvlText w:val=""/>
      <w:lvlJc w:val="left"/>
      <w:pPr>
        <w:ind w:left="2934" w:hanging="360"/>
      </w:pPr>
      <w:rPr>
        <w:rFonts w:hint="default" w:ascii="Wingdings" w:hAnsi="Wingdings"/>
      </w:rPr>
    </w:lvl>
    <w:lvl w:ilvl="3" w:tentative="0">
      <w:start w:val="1"/>
      <w:numFmt w:val="bullet"/>
      <w:lvlText w:val=""/>
      <w:lvlJc w:val="left"/>
      <w:pPr>
        <w:ind w:left="3654" w:hanging="360"/>
      </w:pPr>
      <w:rPr>
        <w:rFonts w:hint="default" w:ascii="Symbol" w:hAnsi="Symbol"/>
      </w:rPr>
    </w:lvl>
    <w:lvl w:ilvl="4" w:tentative="0">
      <w:start w:val="1"/>
      <w:numFmt w:val="bullet"/>
      <w:lvlText w:val="o"/>
      <w:lvlJc w:val="left"/>
      <w:pPr>
        <w:ind w:left="4374" w:hanging="360"/>
      </w:pPr>
      <w:rPr>
        <w:rFonts w:hint="default" w:ascii="Courier New" w:hAnsi="Courier New" w:cs="Courier New"/>
      </w:rPr>
    </w:lvl>
    <w:lvl w:ilvl="5" w:tentative="0">
      <w:start w:val="1"/>
      <w:numFmt w:val="bullet"/>
      <w:lvlText w:val=""/>
      <w:lvlJc w:val="left"/>
      <w:pPr>
        <w:ind w:left="5094" w:hanging="360"/>
      </w:pPr>
      <w:rPr>
        <w:rFonts w:hint="default" w:ascii="Wingdings" w:hAnsi="Wingdings"/>
      </w:rPr>
    </w:lvl>
    <w:lvl w:ilvl="6" w:tentative="0">
      <w:start w:val="1"/>
      <w:numFmt w:val="bullet"/>
      <w:lvlText w:val=""/>
      <w:lvlJc w:val="left"/>
      <w:pPr>
        <w:ind w:left="5814" w:hanging="360"/>
      </w:pPr>
      <w:rPr>
        <w:rFonts w:hint="default" w:ascii="Symbol" w:hAnsi="Symbol"/>
      </w:rPr>
    </w:lvl>
    <w:lvl w:ilvl="7" w:tentative="0">
      <w:start w:val="1"/>
      <w:numFmt w:val="bullet"/>
      <w:lvlText w:val="o"/>
      <w:lvlJc w:val="left"/>
      <w:pPr>
        <w:ind w:left="6534" w:hanging="360"/>
      </w:pPr>
      <w:rPr>
        <w:rFonts w:hint="default" w:ascii="Courier New" w:hAnsi="Courier New" w:cs="Courier New"/>
      </w:rPr>
    </w:lvl>
    <w:lvl w:ilvl="8" w:tentative="0">
      <w:start w:val="1"/>
      <w:numFmt w:val="bullet"/>
      <w:lvlText w:val=""/>
      <w:lvlJc w:val="left"/>
      <w:pPr>
        <w:ind w:left="7254" w:hanging="360"/>
      </w:pPr>
      <w:rPr>
        <w:rFonts w:hint="default" w:ascii="Wingdings" w:hAnsi="Wingdings"/>
      </w:rPr>
    </w:lvl>
  </w:abstractNum>
  <w:abstractNum w:abstractNumId="41">
    <w:nsid w:val="30531D9C"/>
    <w:multiLevelType w:val="multilevel"/>
    <w:tmpl w:val="30531D9C"/>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42">
    <w:nsid w:val="30A4391E"/>
    <w:multiLevelType w:val="multilevel"/>
    <w:tmpl w:val="30A4391E"/>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30E75364"/>
    <w:multiLevelType w:val="multilevel"/>
    <w:tmpl w:val="30E75364"/>
    <w:lvl w:ilvl="0" w:tentative="0">
      <w:start w:val="1"/>
      <w:numFmt w:val="lowerLetter"/>
      <w:lvlText w:val="%1."/>
      <w:lvlJc w:val="left"/>
      <w:pPr>
        <w:ind w:left="502" w:hanging="360"/>
      </w:pPr>
      <w:rPr>
        <w:rFonts w:hint="default"/>
        <w:b/>
      </w:rPr>
    </w:lvl>
    <w:lvl w:ilvl="1" w:tentative="0">
      <w:start w:val="1"/>
      <w:numFmt w:val="lowerLetter"/>
      <w:lvlText w:val="%2."/>
      <w:lvlJc w:val="left"/>
      <w:pPr>
        <w:ind w:left="1222" w:hanging="360"/>
      </w:pPr>
    </w:lvl>
    <w:lvl w:ilvl="2" w:tentative="0">
      <w:start w:val="1"/>
      <w:numFmt w:val="lowerRoman"/>
      <w:lvlText w:val="%3."/>
      <w:lvlJc w:val="right"/>
      <w:pPr>
        <w:ind w:left="1942" w:hanging="180"/>
      </w:pPr>
    </w:lvl>
    <w:lvl w:ilvl="3" w:tentative="0">
      <w:start w:val="1"/>
      <w:numFmt w:val="decimal"/>
      <w:lvlText w:val="%4."/>
      <w:lvlJc w:val="left"/>
      <w:pPr>
        <w:ind w:left="2662" w:hanging="360"/>
      </w:pPr>
    </w:lvl>
    <w:lvl w:ilvl="4" w:tentative="0">
      <w:start w:val="1"/>
      <w:numFmt w:val="lowerLetter"/>
      <w:lvlText w:val="%5."/>
      <w:lvlJc w:val="left"/>
      <w:pPr>
        <w:ind w:left="3382" w:hanging="360"/>
      </w:pPr>
    </w:lvl>
    <w:lvl w:ilvl="5" w:tentative="0">
      <w:start w:val="1"/>
      <w:numFmt w:val="lowerRoman"/>
      <w:lvlText w:val="%6."/>
      <w:lvlJc w:val="right"/>
      <w:pPr>
        <w:ind w:left="4102" w:hanging="180"/>
      </w:pPr>
    </w:lvl>
    <w:lvl w:ilvl="6" w:tentative="0">
      <w:start w:val="1"/>
      <w:numFmt w:val="decimal"/>
      <w:lvlText w:val="%7."/>
      <w:lvlJc w:val="left"/>
      <w:pPr>
        <w:ind w:left="4822" w:hanging="360"/>
      </w:pPr>
    </w:lvl>
    <w:lvl w:ilvl="7" w:tentative="0">
      <w:start w:val="1"/>
      <w:numFmt w:val="lowerLetter"/>
      <w:lvlText w:val="%8."/>
      <w:lvlJc w:val="left"/>
      <w:pPr>
        <w:ind w:left="5542" w:hanging="360"/>
      </w:pPr>
    </w:lvl>
    <w:lvl w:ilvl="8" w:tentative="0">
      <w:start w:val="1"/>
      <w:numFmt w:val="lowerRoman"/>
      <w:lvlText w:val="%9."/>
      <w:lvlJc w:val="right"/>
      <w:pPr>
        <w:ind w:left="6262" w:hanging="180"/>
      </w:pPr>
    </w:lvl>
  </w:abstractNum>
  <w:abstractNum w:abstractNumId="44">
    <w:nsid w:val="31E43E37"/>
    <w:multiLevelType w:val="multilevel"/>
    <w:tmpl w:val="31E43E37"/>
    <w:lvl w:ilvl="0" w:tentative="0">
      <w:start w:val="1"/>
      <w:numFmt w:val="decimal"/>
      <w:lvlText w:val="%1."/>
      <w:lvlJc w:val="left"/>
      <w:pPr>
        <w:ind w:left="1211" w:hanging="360"/>
      </w:pPr>
    </w:lvl>
    <w:lvl w:ilvl="1" w:tentative="0">
      <w:start w:val="1"/>
      <w:numFmt w:val="lowerLetter"/>
      <w:lvlText w:val="%2."/>
      <w:lvlJc w:val="left"/>
      <w:pPr>
        <w:ind w:left="1931" w:hanging="360"/>
      </w:pPr>
    </w:lvl>
    <w:lvl w:ilvl="2" w:tentative="0">
      <w:start w:val="1"/>
      <w:numFmt w:val="lowerRoman"/>
      <w:lvlText w:val="%3."/>
      <w:lvlJc w:val="right"/>
      <w:pPr>
        <w:ind w:left="2651" w:hanging="180"/>
      </w:pPr>
    </w:lvl>
    <w:lvl w:ilvl="3" w:tentative="0">
      <w:start w:val="1"/>
      <w:numFmt w:val="decimal"/>
      <w:lvlText w:val="%4."/>
      <w:lvlJc w:val="left"/>
      <w:pPr>
        <w:ind w:left="3371" w:hanging="360"/>
      </w:pPr>
    </w:lvl>
    <w:lvl w:ilvl="4" w:tentative="0">
      <w:start w:val="1"/>
      <w:numFmt w:val="lowerLetter"/>
      <w:lvlText w:val="%5."/>
      <w:lvlJc w:val="left"/>
      <w:pPr>
        <w:ind w:left="4091" w:hanging="360"/>
      </w:pPr>
    </w:lvl>
    <w:lvl w:ilvl="5" w:tentative="0">
      <w:start w:val="1"/>
      <w:numFmt w:val="lowerRoman"/>
      <w:lvlText w:val="%6."/>
      <w:lvlJc w:val="right"/>
      <w:pPr>
        <w:ind w:left="4811" w:hanging="180"/>
      </w:pPr>
    </w:lvl>
    <w:lvl w:ilvl="6" w:tentative="0">
      <w:start w:val="1"/>
      <w:numFmt w:val="decimal"/>
      <w:lvlText w:val="%7."/>
      <w:lvlJc w:val="left"/>
      <w:pPr>
        <w:ind w:left="5531" w:hanging="360"/>
      </w:pPr>
    </w:lvl>
    <w:lvl w:ilvl="7" w:tentative="0">
      <w:start w:val="1"/>
      <w:numFmt w:val="lowerLetter"/>
      <w:lvlText w:val="%8."/>
      <w:lvlJc w:val="left"/>
      <w:pPr>
        <w:ind w:left="6251" w:hanging="360"/>
      </w:pPr>
    </w:lvl>
    <w:lvl w:ilvl="8" w:tentative="0">
      <w:start w:val="1"/>
      <w:numFmt w:val="lowerRoman"/>
      <w:lvlText w:val="%9."/>
      <w:lvlJc w:val="right"/>
      <w:pPr>
        <w:ind w:left="6971" w:hanging="180"/>
      </w:pPr>
    </w:lvl>
  </w:abstractNum>
  <w:abstractNum w:abstractNumId="45">
    <w:nsid w:val="32715616"/>
    <w:multiLevelType w:val="multilevel"/>
    <w:tmpl w:val="32715616"/>
    <w:lvl w:ilvl="0" w:tentative="0">
      <w:start w:val="1"/>
      <w:numFmt w:val="bullet"/>
      <w:lvlText w:val=""/>
      <w:lvlJc w:val="left"/>
      <w:pPr>
        <w:tabs>
          <w:tab w:val="left" w:pos="362"/>
        </w:tabs>
        <w:ind w:left="362" w:hanging="362"/>
      </w:pPr>
      <w:rPr>
        <w:rFonts w:hint="default" w:ascii="Wingdings" w:hAnsi="Wingdings"/>
        <w:color w:val="auto"/>
      </w:rPr>
    </w:lvl>
    <w:lvl w:ilvl="1" w:tentative="0">
      <w:start w:val="1"/>
      <w:numFmt w:val="bullet"/>
      <w:lvlText w:val=""/>
      <w:lvlJc w:val="left"/>
      <w:pPr>
        <w:tabs>
          <w:tab w:val="left" w:pos="1080"/>
        </w:tabs>
        <w:ind w:left="1080" w:hanging="360"/>
      </w:pPr>
      <w:rPr>
        <w:rFonts w:hint="default" w:ascii="Wingdings" w:hAnsi="Wingdings"/>
        <w:color w:val="auto"/>
      </w:rPr>
    </w:lvl>
    <w:lvl w:ilvl="2" w:tentative="0">
      <w:start w:val="1"/>
      <w:numFmt w:val="bullet"/>
      <w:lvlText w:val=""/>
      <w:lvlJc w:val="left"/>
      <w:pPr>
        <w:tabs>
          <w:tab w:val="left" w:pos="1800"/>
        </w:tabs>
        <w:ind w:left="1800" w:hanging="360"/>
      </w:pPr>
      <w:rPr>
        <w:rFonts w:hint="default" w:ascii="Wingdings" w:hAnsi="Wingdings"/>
      </w:rPr>
    </w:lvl>
    <w:lvl w:ilvl="3" w:tentative="0">
      <w:start w:val="1"/>
      <w:numFmt w:val="bullet"/>
      <w:lvlText w:val=""/>
      <w:lvlJc w:val="left"/>
      <w:pPr>
        <w:tabs>
          <w:tab w:val="left" w:pos="2520"/>
        </w:tabs>
        <w:ind w:left="2520" w:hanging="360"/>
      </w:pPr>
      <w:rPr>
        <w:rFonts w:hint="default" w:ascii="Symbol" w:hAnsi="Symbol"/>
      </w:rPr>
    </w:lvl>
    <w:lvl w:ilvl="4" w:tentative="0">
      <w:start w:val="1"/>
      <w:numFmt w:val="bullet"/>
      <w:lvlText w:val="o"/>
      <w:lvlJc w:val="left"/>
      <w:pPr>
        <w:tabs>
          <w:tab w:val="left" w:pos="3240"/>
        </w:tabs>
        <w:ind w:left="3240" w:hanging="360"/>
      </w:pPr>
      <w:rPr>
        <w:rFonts w:hint="default" w:ascii="Courier New" w:hAnsi="Courier New" w:cs="Courier New"/>
      </w:rPr>
    </w:lvl>
    <w:lvl w:ilvl="5" w:tentative="0">
      <w:start w:val="1"/>
      <w:numFmt w:val="bullet"/>
      <w:lvlText w:val=""/>
      <w:lvlJc w:val="left"/>
      <w:pPr>
        <w:tabs>
          <w:tab w:val="left" w:pos="3960"/>
        </w:tabs>
        <w:ind w:left="3960" w:hanging="360"/>
      </w:pPr>
      <w:rPr>
        <w:rFonts w:hint="default" w:ascii="Wingdings" w:hAnsi="Wingdings"/>
      </w:rPr>
    </w:lvl>
    <w:lvl w:ilvl="6" w:tentative="0">
      <w:start w:val="1"/>
      <w:numFmt w:val="bullet"/>
      <w:lvlText w:val=""/>
      <w:lvlJc w:val="left"/>
      <w:pPr>
        <w:tabs>
          <w:tab w:val="left" w:pos="4680"/>
        </w:tabs>
        <w:ind w:left="4680" w:hanging="360"/>
      </w:pPr>
      <w:rPr>
        <w:rFonts w:hint="default" w:ascii="Symbol" w:hAnsi="Symbol"/>
      </w:rPr>
    </w:lvl>
    <w:lvl w:ilvl="7" w:tentative="0">
      <w:start w:val="1"/>
      <w:numFmt w:val="bullet"/>
      <w:lvlText w:val="o"/>
      <w:lvlJc w:val="left"/>
      <w:pPr>
        <w:tabs>
          <w:tab w:val="left" w:pos="5400"/>
        </w:tabs>
        <w:ind w:left="5400" w:hanging="360"/>
      </w:pPr>
      <w:rPr>
        <w:rFonts w:hint="default" w:ascii="Courier New" w:hAnsi="Courier New" w:cs="Courier New"/>
      </w:rPr>
    </w:lvl>
    <w:lvl w:ilvl="8" w:tentative="0">
      <w:start w:val="1"/>
      <w:numFmt w:val="bullet"/>
      <w:lvlText w:val=""/>
      <w:lvlJc w:val="left"/>
      <w:pPr>
        <w:tabs>
          <w:tab w:val="left" w:pos="6120"/>
        </w:tabs>
        <w:ind w:left="6120" w:hanging="360"/>
      </w:pPr>
      <w:rPr>
        <w:rFonts w:hint="default" w:ascii="Wingdings" w:hAnsi="Wingdings"/>
      </w:rPr>
    </w:lvl>
  </w:abstractNum>
  <w:abstractNum w:abstractNumId="46">
    <w:nsid w:val="33561A7A"/>
    <w:multiLevelType w:val="multilevel"/>
    <w:tmpl w:val="33561A7A"/>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7">
    <w:nsid w:val="34F25B22"/>
    <w:multiLevelType w:val="multilevel"/>
    <w:tmpl w:val="34F25B22"/>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368E34BB"/>
    <w:multiLevelType w:val="multilevel"/>
    <w:tmpl w:val="368E34BB"/>
    <w:lvl w:ilvl="0" w:tentative="0">
      <w:start w:val="1"/>
      <w:numFmt w:val="lowerLetter"/>
      <w:lvlText w:val="%1."/>
      <w:lvlJc w:val="left"/>
      <w:pPr>
        <w:ind w:left="720" w:hanging="360"/>
      </w:pPr>
      <w:rPr>
        <w:rFonts w:hint="default"/>
        <w:b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9">
    <w:nsid w:val="37951EC1"/>
    <w:multiLevelType w:val="multilevel"/>
    <w:tmpl w:val="37951EC1"/>
    <w:lvl w:ilvl="0" w:tentative="0">
      <w:start w:val="1"/>
      <w:numFmt w:val="lowerLetter"/>
      <w:lvlText w:val="%1."/>
      <w:lvlJc w:val="left"/>
      <w:pPr>
        <w:ind w:left="360" w:hanging="360"/>
      </w:pPr>
      <w:rPr>
        <w:rFonts w:hint="default"/>
        <w:b/>
      </w:rPr>
    </w:lvl>
    <w:lvl w:ilvl="1" w:tentative="0">
      <w:start w:val="1"/>
      <w:numFmt w:val="lowerLetter"/>
      <w:lvlText w:val="%2."/>
      <w:lvlJc w:val="left"/>
      <w:pPr>
        <w:ind w:left="360" w:hanging="360"/>
      </w:pPr>
      <w:rPr>
        <w:b/>
      </w:rPr>
    </w:lvl>
    <w:lvl w:ilvl="2" w:tentative="0">
      <w:start w:val="1"/>
      <w:numFmt w:val="lowerRoman"/>
      <w:lvlText w:val="%3."/>
      <w:lvlJc w:val="right"/>
      <w:pPr>
        <w:ind w:left="2160" w:hanging="180"/>
      </w:pPr>
    </w:lvl>
    <w:lvl w:ilvl="3" w:tentative="0">
      <w:start w:val="1"/>
      <w:numFmt w:val="decimal"/>
      <w:lvlText w:val="%4."/>
      <w:lvlJc w:val="left"/>
      <w:pPr>
        <w:ind w:left="1069"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0">
    <w:nsid w:val="397C1671"/>
    <w:multiLevelType w:val="multilevel"/>
    <w:tmpl w:val="397C1671"/>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51">
    <w:nsid w:val="3B7245F7"/>
    <w:multiLevelType w:val="multilevel"/>
    <w:tmpl w:val="3B7245F7"/>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4299348B"/>
    <w:multiLevelType w:val="multilevel"/>
    <w:tmpl w:val="4299348B"/>
    <w:lvl w:ilvl="0" w:tentative="0">
      <w:start w:val="1"/>
      <w:numFmt w:val="bullet"/>
      <w:lvlText w:val=""/>
      <w:lvlJc w:val="left"/>
      <w:pPr>
        <w:ind w:left="720" w:hanging="360"/>
      </w:pPr>
      <w:rPr>
        <w:rFonts w:hint="default" w:ascii="Wingdings" w:hAnsi="Wingdings"/>
      </w:rPr>
    </w:lvl>
    <w:lvl w:ilvl="1" w:tentative="0">
      <w:start w:val="1"/>
      <w:numFmt w:val="bullet"/>
      <w:lvlText w:val=""/>
      <w:lvlJc w:val="left"/>
      <w:pPr>
        <w:ind w:left="643" w:hanging="360"/>
      </w:pPr>
      <w:rPr>
        <w:rFonts w:hint="default" w:ascii="Wingdings" w:hAnsi="Wingdings"/>
      </w:rPr>
    </w:lvl>
    <w:lvl w:ilvl="2" w:tentative="0">
      <w:start w:val="3"/>
      <w:numFmt w:val="bullet"/>
      <w:lvlText w:val="-"/>
      <w:lvlJc w:val="left"/>
      <w:pPr>
        <w:ind w:left="1636" w:hanging="360"/>
      </w:pPr>
      <w:rPr>
        <w:rFonts w:hint="default" w:ascii="Century Gothic" w:hAnsi="Century Gothic" w:eastAsia="Times New Roman" w:cs="Arial"/>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3">
    <w:nsid w:val="44216410"/>
    <w:multiLevelType w:val="multilevel"/>
    <w:tmpl w:val="44216410"/>
    <w:lvl w:ilvl="0" w:tentative="0">
      <w:start w:val="1"/>
      <w:numFmt w:val="decimal"/>
      <w:lvlText w:val="%1."/>
      <w:lvlJc w:val="left"/>
      <w:pPr>
        <w:ind w:left="1069" w:hanging="360"/>
      </w:pPr>
      <w:rPr>
        <w:b w:val="0"/>
      </w:r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54">
    <w:nsid w:val="45E07263"/>
    <w:multiLevelType w:val="multilevel"/>
    <w:tmpl w:val="45E07263"/>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55">
    <w:nsid w:val="4A3518AC"/>
    <w:multiLevelType w:val="multilevel"/>
    <w:tmpl w:val="4A3518AC"/>
    <w:lvl w:ilvl="0" w:tentative="0">
      <w:start w:val="1"/>
      <w:numFmt w:val="decimal"/>
      <w:lvlText w:val="%1."/>
      <w:lvlJc w:val="left"/>
      <w:pPr>
        <w:tabs>
          <w:tab w:val="left" w:pos="72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6">
    <w:nsid w:val="4A4E64EF"/>
    <w:multiLevelType w:val="multilevel"/>
    <w:tmpl w:val="4A4E64EF"/>
    <w:lvl w:ilvl="0" w:tentative="0">
      <w:start w:val="5"/>
      <w:numFmt w:val="decimal"/>
      <w:lvlText w:val="%1."/>
      <w:lvlJc w:val="left"/>
      <w:pPr>
        <w:ind w:left="360" w:hanging="360"/>
      </w:pPr>
      <w:rPr>
        <w:rFonts w:hint="default"/>
        <w:b/>
      </w:rPr>
    </w:lvl>
    <w:lvl w:ilvl="1" w:tentative="0">
      <w:start w:val="1"/>
      <w:numFmt w:val="decimal"/>
      <w:lvlText w:val="%1.%2."/>
      <w:lvlJc w:val="left"/>
      <w:pPr>
        <w:ind w:left="720" w:hanging="720"/>
      </w:pPr>
      <w:rPr>
        <w:rFonts w:hint="default"/>
        <w:b/>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57">
    <w:nsid w:val="4B193F5C"/>
    <w:multiLevelType w:val="multilevel"/>
    <w:tmpl w:val="4B193F5C"/>
    <w:lvl w:ilvl="0" w:tentative="0">
      <w:start w:val="1"/>
      <w:numFmt w:val="bullet"/>
      <w:lvlText w:val=""/>
      <w:lvlJc w:val="left"/>
      <w:pPr>
        <w:ind w:left="927" w:hanging="360"/>
      </w:pPr>
      <w:rPr>
        <w:rFonts w:hint="default" w:ascii="Wingdings" w:hAnsi="Wingdings"/>
      </w:rPr>
    </w:lvl>
    <w:lvl w:ilvl="1" w:tentative="0">
      <w:start w:val="1"/>
      <w:numFmt w:val="bullet"/>
      <w:lvlText w:val="o"/>
      <w:lvlJc w:val="left"/>
      <w:pPr>
        <w:ind w:left="1647" w:hanging="360"/>
      </w:pPr>
      <w:rPr>
        <w:rFonts w:hint="default" w:ascii="Courier New" w:hAnsi="Courier New" w:cs="Courier New"/>
      </w:rPr>
    </w:lvl>
    <w:lvl w:ilvl="2" w:tentative="0">
      <w:start w:val="1"/>
      <w:numFmt w:val="bullet"/>
      <w:lvlText w:val=""/>
      <w:lvlJc w:val="left"/>
      <w:pPr>
        <w:ind w:left="2367" w:hanging="360"/>
      </w:pPr>
      <w:rPr>
        <w:rFonts w:hint="default" w:ascii="Wingdings" w:hAnsi="Wingdings"/>
      </w:rPr>
    </w:lvl>
    <w:lvl w:ilvl="3" w:tentative="0">
      <w:start w:val="1"/>
      <w:numFmt w:val="bullet"/>
      <w:lvlText w:val=""/>
      <w:lvlJc w:val="left"/>
      <w:pPr>
        <w:ind w:left="3087" w:hanging="360"/>
      </w:pPr>
      <w:rPr>
        <w:rFonts w:hint="default" w:ascii="Symbol" w:hAnsi="Symbol"/>
      </w:rPr>
    </w:lvl>
    <w:lvl w:ilvl="4" w:tentative="0">
      <w:start w:val="1"/>
      <w:numFmt w:val="bullet"/>
      <w:lvlText w:val="o"/>
      <w:lvlJc w:val="left"/>
      <w:pPr>
        <w:ind w:left="3807" w:hanging="360"/>
      </w:pPr>
      <w:rPr>
        <w:rFonts w:hint="default" w:ascii="Courier New" w:hAnsi="Courier New" w:cs="Courier New"/>
      </w:rPr>
    </w:lvl>
    <w:lvl w:ilvl="5" w:tentative="0">
      <w:start w:val="1"/>
      <w:numFmt w:val="bullet"/>
      <w:lvlText w:val=""/>
      <w:lvlJc w:val="left"/>
      <w:pPr>
        <w:ind w:left="4527" w:hanging="360"/>
      </w:pPr>
      <w:rPr>
        <w:rFonts w:hint="default" w:ascii="Wingdings" w:hAnsi="Wingdings"/>
      </w:rPr>
    </w:lvl>
    <w:lvl w:ilvl="6" w:tentative="0">
      <w:start w:val="1"/>
      <w:numFmt w:val="bullet"/>
      <w:lvlText w:val=""/>
      <w:lvlJc w:val="left"/>
      <w:pPr>
        <w:ind w:left="5247" w:hanging="360"/>
      </w:pPr>
      <w:rPr>
        <w:rFonts w:hint="default" w:ascii="Symbol" w:hAnsi="Symbol"/>
      </w:rPr>
    </w:lvl>
    <w:lvl w:ilvl="7" w:tentative="0">
      <w:start w:val="1"/>
      <w:numFmt w:val="bullet"/>
      <w:lvlText w:val="o"/>
      <w:lvlJc w:val="left"/>
      <w:pPr>
        <w:ind w:left="5967" w:hanging="360"/>
      </w:pPr>
      <w:rPr>
        <w:rFonts w:hint="default" w:ascii="Courier New" w:hAnsi="Courier New" w:cs="Courier New"/>
      </w:rPr>
    </w:lvl>
    <w:lvl w:ilvl="8" w:tentative="0">
      <w:start w:val="1"/>
      <w:numFmt w:val="bullet"/>
      <w:lvlText w:val=""/>
      <w:lvlJc w:val="left"/>
      <w:pPr>
        <w:ind w:left="6687" w:hanging="360"/>
      </w:pPr>
      <w:rPr>
        <w:rFonts w:hint="default" w:ascii="Wingdings" w:hAnsi="Wingdings"/>
      </w:rPr>
    </w:lvl>
  </w:abstractNum>
  <w:abstractNum w:abstractNumId="58">
    <w:nsid w:val="4B640334"/>
    <w:multiLevelType w:val="multilevel"/>
    <w:tmpl w:val="4B640334"/>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9">
    <w:nsid w:val="4CBA38B1"/>
    <w:multiLevelType w:val="multilevel"/>
    <w:tmpl w:val="4CBA38B1"/>
    <w:lvl w:ilvl="0" w:tentative="0">
      <w:start w:val="1"/>
      <w:numFmt w:val="bullet"/>
      <w:lvlText w:val=""/>
      <w:lvlJc w:val="left"/>
      <w:pPr>
        <w:ind w:left="1440" w:hanging="360"/>
      </w:pPr>
      <w:rPr>
        <w:rFonts w:hint="default" w:ascii="Wingdings" w:hAnsi="Wingdings"/>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60">
    <w:nsid w:val="4CFC224C"/>
    <w:multiLevelType w:val="multilevel"/>
    <w:tmpl w:val="4CFC224C"/>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4D101E1D"/>
    <w:multiLevelType w:val="multilevel"/>
    <w:tmpl w:val="4D101E1D"/>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4DC24C7F"/>
    <w:multiLevelType w:val="multilevel"/>
    <w:tmpl w:val="4DC24C7F"/>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63">
    <w:nsid w:val="4E380EDF"/>
    <w:multiLevelType w:val="multilevel"/>
    <w:tmpl w:val="4E380EDF"/>
    <w:lvl w:ilvl="0" w:tentative="0">
      <w:start w:val="1"/>
      <w:numFmt w:val="bullet"/>
      <w:lvlText w:val=""/>
      <w:lvlJc w:val="left"/>
      <w:pPr>
        <w:ind w:left="501" w:hanging="360"/>
      </w:pPr>
      <w:rPr>
        <w:rFonts w:hint="default" w:ascii="Wingdings" w:hAnsi="Wingdings"/>
      </w:rPr>
    </w:lvl>
    <w:lvl w:ilvl="1" w:tentative="0">
      <w:start w:val="1"/>
      <w:numFmt w:val="bullet"/>
      <w:lvlText w:val="o"/>
      <w:lvlJc w:val="left"/>
      <w:pPr>
        <w:ind w:left="1221" w:hanging="360"/>
      </w:pPr>
      <w:rPr>
        <w:rFonts w:hint="default" w:ascii="Courier New" w:hAnsi="Courier New" w:cs="Courier New"/>
      </w:rPr>
    </w:lvl>
    <w:lvl w:ilvl="2" w:tentative="0">
      <w:start w:val="1"/>
      <w:numFmt w:val="bullet"/>
      <w:lvlText w:val=""/>
      <w:lvlJc w:val="left"/>
      <w:pPr>
        <w:ind w:left="1941" w:hanging="360"/>
      </w:pPr>
      <w:rPr>
        <w:rFonts w:hint="default" w:ascii="Wingdings" w:hAnsi="Wingdings"/>
      </w:rPr>
    </w:lvl>
    <w:lvl w:ilvl="3" w:tentative="0">
      <w:start w:val="1"/>
      <w:numFmt w:val="bullet"/>
      <w:lvlText w:val=""/>
      <w:lvlJc w:val="left"/>
      <w:pPr>
        <w:ind w:left="2661" w:hanging="360"/>
      </w:pPr>
      <w:rPr>
        <w:rFonts w:hint="default" w:ascii="Symbol" w:hAnsi="Symbol"/>
      </w:rPr>
    </w:lvl>
    <w:lvl w:ilvl="4" w:tentative="0">
      <w:start w:val="1"/>
      <w:numFmt w:val="bullet"/>
      <w:lvlText w:val="o"/>
      <w:lvlJc w:val="left"/>
      <w:pPr>
        <w:ind w:left="3381" w:hanging="360"/>
      </w:pPr>
      <w:rPr>
        <w:rFonts w:hint="default" w:ascii="Courier New" w:hAnsi="Courier New" w:cs="Courier New"/>
      </w:rPr>
    </w:lvl>
    <w:lvl w:ilvl="5" w:tentative="0">
      <w:start w:val="1"/>
      <w:numFmt w:val="bullet"/>
      <w:lvlText w:val=""/>
      <w:lvlJc w:val="left"/>
      <w:pPr>
        <w:ind w:left="4101" w:hanging="360"/>
      </w:pPr>
      <w:rPr>
        <w:rFonts w:hint="default" w:ascii="Wingdings" w:hAnsi="Wingdings"/>
      </w:rPr>
    </w:lvl>
    <w:lvl w:ilvl="6" w:tentative="0">
      <w:start w:val="1"/>
      <w:numFmt w:val="bullet"/>
      <w:lvlText w:val=""/>
      <w:lvlJc w:val="left"/>
      <w:pPr>
        <w:ind w:left="4821" w:hanging="360"/>
      </w:pPr>
      <w:rPr>
        <w:rFonts w:hint="default" w:ascii="Symbol" w:hAnsi="Symbol"/>
      </w:rPr>
    </w:lvl>
    <w:lvl w:ilvl="7" w:tentative="0">
      <w:start w:val="1"/>
      <w:numFmt w:val="bullet"/>
      <w:lvlText w:val="o"/>
      <w:lvlJc w:val="left"/>
      <w:pPr>
        <w:ind w:left="5541" w:hanging="360"/>
      </w:pPr>
      <w:rPr>
        <w:rFonts w:hint="default" w:ascii="Courier New" w:hAnsi="Courier New" w:cs="Courier New"/>
      </w:rPr>
    </w:lvl>
    <w:lvl w:ilvl="8" w:tentative="0">
      <w:start w:val="1"/>
      <w:numFmt w:val="bullet"/>
      <w:lvlText w:val=""/>
      <w:lvlJc w:val="left"/>
      <w:pPr>
        <w:ind w:left="6261" w:hanging="360"/>
      </w:pPr>
      <w:rPr>
        <w:rFonts w:hint="default" w:ascii="Wingdings" w:hAnsi="Wingdings"/>
      </w:rPr>
    </w:lvl>
  </w:abstractNum>
  <w:abstractNum w:abstractNumId="64">
    <w:nsid w:val="505809D1"/>
    <w:multiLevelType w:val="multilevel"/>
    <w:tmpl w:val="505809D1"/>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65">
    <w:nsid w:val="506F7C6C"/>
    <w:multiLevelType w:val="multilevel"/>
    <w:tmpl w:val="506F7C6C"/>
    <w:lvl w:ilvl="0" w:tentative="0">
      <w:start w:val="1"/>
      <w:numFmt w:val="bullet"/>
      <w:lvlText w:val=""/>
      <w:lvlJc w:val="left"/>
      <w:pPr>
        <w:ind w:left="1211" w:hanging="360"/>
      </w:pPr>
      <w:rPr>
        <w:rFonts w:hint="default" w:ascii="Wingdings" w:hAnsi="Wingdings"/>
      </w:rPr>
    </w:lvl>
    <w:lvl w:ilvl="1" w:tentative="0">
      <w:start w:val="1"/>
      <w:numFmt w:val="bullet"/>
      <w:lvlText w:val="o"/>
      <w:lvlJc w:val="left"/>
      <w:pPr>
        <w:ind w:left="1931" w:hanging="360"/>
      </w:pPr>
      <w:rPr>
        <w:rFonts w:hint="default" w:ascii="Courier New" w:hAnsi="Courier New" w:cs="Courier New"/>
      </w:rPr>
    </w:lvl>
    <w:lvl w:ilvl="2" w:tentative="0">
      <w:start w:val="1"/>
      <w:numFmt w:val="bullet"/>
      <w:lvlText w:val=""/>
      <w:lvlJc w:val="left"/>
      <w:pPr>
        <w:ind w:left="2651" w:hanging="360"/>
      </w:pPr>
      <w:rPr>
        <w:rFonts w:hint="default" w:ascii="Wingdings" w:hAnsi="Wingdings"/>
      </w:rPr>
    </w:lvl>
    <w:lvl w:ilvl="3" w:tentative="0">
      <w:start w:val="1"/>
      <w:numFmt w:val="bullet"/>
      <w:lvlText w:val=""/>
      <w:lvlJc w:val="left"/>
      <w:pPr>
        <w:ind w:left="3371" w:hanging="360"/>
      </w:pPr>
      <w:rPr>
        <w:rFonts w:hint="default" w:ascii="Symbol" w:hAnsi="Symbol"/>
      </w:rPr>
    </w:lvl>
    <w:lvl w:ilvl="4" w:tentative="0">
      <w:start w:val="1"/>
      <w:numFmt w:val="bullet"/>
      <w:lvlText w:val="o"/>
      <w:lvlJc w:val="left"/>
      <w:pPr>
        <w:ind w:left="4091" w:hanging="360"/>
      </w:pPr>
      <w:rPr>
        <w:rFonts w:hint="default" w:ascii="Courier New" w:hAnsi="Courier New" w:cs="Courier New"/>
      </w:rPr>
    </w:lvl>
    <w:lvl w:ilvl="5" w:tentative="0">
      <w:start w:val="1"/>
      <w:numFmt w:val="bullet"/>
      <w:lvlText w:val=""/>
      <w:lvlJc w:val="left"/>
      <w:pPr>
        <w:ind w:left="4811" w:hanging="360"/>
      </w:pPr>
      <w:rPr>
        <w:rFonts w:hint="default" w:ascii="Wingdings" w:hAnsi="Wingdings"/>
      </w:rPr>
    </w:lvl>
    <w:lvl w:ilvl="6" w:tentative="0">
      <w:start w:val="1"/>
      <w:numFmt w:val="bullet"/>
      <w:lvlText w:val=""/>
      <w:lvlJc w:val="left"/>
      <w:pPr>
        <w:ind w:left="5531" w:hanging="360"/>
      </w:pPr>
      <w:rPr>
        <w:rFonts w:hint="default" w:ascii="Symbol" w:hAnsi="Symbol"/>
      </w:rPr>
    </w:lvl>
    <w:lvl w:ilvl="7" w:tentative="0">
      <w:start w:val="1"/>
      <w:numFmt w:val="bullet"/>
      <w:lvlText w:val="o"/>
      <w:lvlJc w:val="left"/>
      <w:pPr>
        <w:ind w:left="6251" w:hanging="360"/>
      </w:pPr>
      <w:rPr>
        <w:rFonts w:hint="default" w:ascii="Courier New" w:hAnsi="Courier New" w:cs="Courier New"/>
      </w:rPr>
    </w:lvl>
    <w:lvl w:ilvl="8" w:tentative="0">
      <w:start w:val="1"/>
      <w:numFmt w:val="bullet"/>
      <w:lvlText w:val=""/>
      <w:lvlJc w:val="left"/>
      <w:pPr>
        <w:ind w:left="6971" w:hanging="360"/>
      </w:pPr>
      <w:rPr>
        <w:rFonts w:hint="default" w:ascii="Wingdings" w:hAnsi="Wingdings"/>
      </w:rPr>
    </w:lvl>
  </w:abstractNum>
  <w:abstractNum w:abstractNumId="66">
    <w:nsid w:val="515321C5"/>
    <w:multiLevelType w:val="multilevel"/>
    <w:tmpl w:val="515321C5"/>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7">
    <w:nsid w:val="53720567"/>
    <w:multiLevelType w:val="multilevel"/>
    <w:tmpl w:val="53720567"/>
    <w:lvl w:ilvl="0" w:tentative="0">
      <w:start w:val="1"/>
      <w:numFmt w:val="bullet"/>
      <w:lvlText w:val=""/>
      <w:lvlJc w:val="left"/>
      <w:pPr>
        <w:ind w:left="720" w:hanging="360"/>
      </w:pPr>
      <w:rPr>
        <w:rFonts w:hint="default" w:ascii="Wingdings" w:hAnsi="Wingdings"/>
      </w:rPr>
    </w:lvl>
    <w:lvl w:ilvl="1" w:tentative="0">
      <w:start w:val="1"/>
      <w:numFmt w:val="bullet"/>
      <w:lvlText w:val=""/>
      <w:lvlJc w:val="left"/>
      <w:pPr>
        <w:ind w:left="501" w:hanging="360"/>
      </w:pPr>
      <w:rPr>
        <w:rFonts w:hint="default" w:ascii="Wingdings" w:hAnsi="Wingdings"/>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8">
    <w:nsid w:val="54EE07C0"/>
    <w:multiLevelType w:val="multilevel"/>
    <w:tmpl w:val="54EE07C0"/>
    <w:lvl w:ilvl="0" w:tentative="0">
      <w:start w:val="1"/>
      <w:numFmt w:val="decimal"/>
      <w:lvlText w:val="%1."/>
      <w:lvlJc w:val="left"/>
      <w:pPr>
        <w:ind w:left="720" w:hanging="360"/>
      </w:pPr>
      <w:rPr>
        <w:rFonts w:hint="default"/>
      </w:rPr>
    </w:lvl>
    <w:lvl w:ilvl="1" w:tentative="0">
      <w:start w:val="1"/>
      <w:numFmt w:val="decimal"/>
      <w:isLgl/>
      <w:lvlText w:val="%1.%2"/>
      <w:lvlJc w:val="left"/>
      <w:pPr>
        <w:ind w:left="1080" w:hanging="720"/>
      </w:pPr>
      <w:rPr>
        <w:rFonts w:hint="default"/>
      </w:rPr>
    </w:lvl>
    <w:lvl w:ilvl="2" w:tentative="0">
      <w:start w:val="1"/>
      <w:numFmt w:val="decimal"/>
      <w:isLgl/>
      <w:lvlText w:val="%1.%2.%3"/>
      <w:lvlJc w:val="left"/>
      <w:pPr>
        <w:ind w:left="1440" w:hanging="1080"/>
      </w:pPr>
      <w:rPr>
        <w:rFonts w:hint="default"/>
      </w:rPr>
    </w:lvl>
    <w:lvl w:ilvl="3" w:tentative="0">
      <w:start w:val="1"/>
      <w:numFmt w:val="decimal"/>
      <w:isLgl/>
      <w:lvlText w:val="%1.%2.%3.%4"/>
      <w:lvlJc w:val="left"/>
      <w:pPr>
        <w:ind w:left="1440" w:hanging="1080"/>
      </w:pPr>
      <w:rPr>
        <w:rFonts w:hint="default"/>
      </w:rPr>
    </w:lvl>
    <w:lvl w:ilvl="4" w:tentative="0">
      <w:start w:val="1"/>
      <w:numFmt w:val="decimal"/>
      <w:isLgl/>
      <w:lvlText w:val="%1.%2.%3.%4.%5"/>
      <w:lvlJc w:val="left"/>
      <w:pPr>
        <w:ind w:left="1800" w:hanging="1440"/>
      </w:pPr>
      <w:rPr>
        <w:rFonts w:hint="default"/>
      </w:rPr>
    </w:lvl>
    <w:lvl w:ilvl="5" w:tentative="0">
      <w:start w:val="1"/>
      <w:numFmt w:val="decimal"/>
      <w:isLgl/>
      <w:lvlText w:val="%1.%2.%3.%4.%5.%6"/>
      <w:lvlJc w:val="left"/>
      <w:pPr>
        <w:ind w:left="2160" w:hanging="1800"/>
      </w:pPr>
      <w:rPr>
        <w:rFonts w:hint="default"/>
      </w:rPr>
    </w:lvl>
    <w:lvl w:ilvl="6" w:tentative="0">
      <w:start w:val="1"/>
      <w:numFmt w:val="decimal"/>
      <w:isLgl/>
      <w:lvlText w:val="%1.%2.%3.%4.%5.%6.%7"/>
      <w:lvlJc w:val="left"/>
      <w:pPr>
        <w:ind w:left="2520" w:hanging="2160"/>
      </w:pPr>
      <w:rPr>
        <w:rFonts w:hint="default"/>
      </w:rPr>
    </w:lvl>
    <w:lvl w:ilvl="7" w:tentative="0">
      <w:start w:val="1"/>
      <w:numFmt w:val="decimal"/>
      <w:isLgl/>
      <w:lvlText w:val="%1.%2.%3.%4.%5.%6.%7.%8"/>
      <w:lvlJc w:val="left"/>
      <w:pPr>
        <w:ind w:left="2520" w:hanging="2160"/>
      </w:pPr>
      <w:rPr>
        <w:rFonts w:hint="default"/>
      </w:rPr>
    </w:lvl>
    <w:lvl w:ilvl="8" w:tentative="0">
      <w:start w:val="1"/>
      <w:numFmt w:val="decimal"/>
      <w:isLgl/>
      <w:lvlText w:val="%1.%2.%3.%4.%5.%6.%7.%8.%9"/>
      <w:lvlJc w:val="left"/>
      <w:pPr>
        <w:ind w:left="2880" w:hanging="2520"/>
      </w:pPr>
      <w:rPr>
        <w:rFonts w:hint="default"/>
      </w:rPr>
    </w:lvl>
  </w:abstractNum>
  <w:abstractNum w:abstractNumId="69">
    <w:nsid w:val="54EF0F96"/>
    <w:multiLevelType w:val="multilevel"/>
    <w:tmpl w:val="54EF0F96"/>
    <w:lvl w:ilvl="0" w:tentative="0">
      <w:start w:val="8"/>
      <w:numFmt w:val="bullet"/>
      <w:lvlText w:val="-"/>
      <w:lvlJc w:val="left"/>
      <w:pPr>
        <w:ind w:left="785" w:hanging="360"/>
      </w:pPr>
      <w:rPr>
        <w:rFonts w:hint="default" w:ascii="Tahoma" w:hAnsi="Tahoma" w:cs="Tahoma" w:eastAsiaTheme="minorHAnsi"/>
      </w:rPr>
    </w:lvl>
    <w:lvl w:ilvl="1" w:tentative="0">
      <w:start w:val="1"/>
      <w:numFmt w:val="bullet"/>
      <w:lvlText w:val="o"/>
      <w:lvlJc w:val="left"/>
      <w:pPr>
        <w:ind w:left="1505" w:hanging="360"/>
      </w:pPr>
      <w:rPr>
        <w:rFonts w:hint="default" w:ascii="Courier New" w:hAnsi="Courier New" w:cs="Courier New"/>
      </w:rPr>
    </w:lvl>
    <w:lvl w:ilvl="2" w:tentative="0">
      <w:start w:val="1"/>
      <w:numFmt w:val="bullet"/>
      <w:lvlText w:val=""/>
      <w:lvlJc w:val="left"/>
      <w:pPr>
        <w:ind w:left="2225" w:hanging="360"/>
      </w:pPr>
      <w:rPr>
        <w:rFonts w:hint="default" w:ascii="Wingdings" w:hAnsi="Wingdings"/>
      </w:rPr>
    </w:lvl>
    <w:lvl w:ilvl="3" w:tentative="0">
      <w:start w:val="1"/>
      <w:numFmt w:val="bullet"/>
      <w:lvlText w:val=""/>
      <w:lvlJc w:val="left"/>
      <w:pPr>
        <w:ind w:left="2945" w:hanging="360"/>
      </w:pPr>
      <w:rPr>
        <w:rFonts w:hint="default" w:ascii="Symbol" w:hAnsi="Symbol"/>
      </w:rPr>
    </w:lvl>
    <w:lvl w:ilvl="4" w:tentative="0">
      <w:start w:val="1"/>
      <w:numFmt w:val="bullet"/>
      <w:lvlText w:val="o"/>
      <w:lvlJc w:val="left"/>
      <w:pPr>
        <w:ind w:left="3665" w:hanging="360"/>
      </w:pPr>
      <w:rPr>
        <w:rFonts w:hint="default" w:ascii="Courier New" w:hAnsi="Courier New" w:cs="Courier New"/>
      </w:rPr>
    </w:lvl>
    <w:lvl w:ilvl="5" w:tentative="0">
      <w:start w:val="1"/>
      <w:numFmt w:val="bullet"/>
      <w:lvlText w:val=""/>
      <w:lvlJc w:val="left"/>
      <w:pPr>
        <w:ind w:left="4385" w:hanging="360"/>
      </w:pPr>
      <w:rPr>
        <w:rFonts w:hint="default" w:ascii="Wingdings" w:hAnsi="Wingdings"/>
      </w:rPr>
    </w:lvl>
    <w:lvl w:ilvl="6" w:tentative="0">
      <w:start w:val="1"/>
      <w:numFmt w:val="bullet"/>
      <w:lvlText w:val=""/>
      <w:lvlJc w:val="left"/>
      <w:pPr>
        <w:ind w:left="5105" w:hanging="360"/>
      </w:pPr>
      <w:rPr>
        <w:rFonts w:hint="default" w:ascii="Symbol" w:hAnsi="Symbol"/>
      </w:rPr>
    </w:lvl>
    <w:lvl w:ilvl="7" w:tentative="0">
      <w:start w:val="1"/>
      <w:numFmt w:val="bullet"/>
      <w:lvlText w:val="o"/>
      <w:lvlJc w:val="left"/>
      <w:pPr>
        <w:ind w:left="5825" w:hanging="360"/>
      </w:pPr>
      <w:rPr>
        <w:rFonts w:hint="default" w:ascii="Courier New" w:hAnsi="Courier New" w:cs="Courier New"/>
      </w:rPr>
    </w:lvl>
    <w:lvl w:ilvl="8" w:tentative="0">
      <w:start w:val="1"/>
      <w:numFmt w:val="bullet"/>
      <w:lvlText w:val=""/>
      <w:lvlJc w:val="left"/>
      <w:pPr>
        <w:ind w:left="6545" w:hanging="360"/>
      </w:pPr>
      <w:rPr>
        <w:rFonts w:hint="default" w:ascii="Wingdings" w:hAnsi="Wingdings"/>
      </w:rPr>
    </w:lvl>
  </w:abstractNum>
  <w:abstractNum w:abstractNumId="70">
    <w:nsid w:val="54F165FA"/>
    <w:multiLevelType w:val="multilevel"/>
    <w:tmpl w:val="54F165FA"/>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1">
    <w:nsid w:val="55334CB5"/>
    <w:multiLevelType w:val="multilevel"/>
    <w:tmpl w:val="55334CB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2">
    <w:nsid w:val="555A23AE"/>
    <w:multiLevelType w:val="multilevel"/>
    <w:tmpl w:val="555A23AE"/>
    <w:lvl w:ilvl="0" w:tentative="0">
      <w:start w:val="1"/>
      <w:numFmt w:val="decimal"/>
      <w:lvlText w:val="%1."/>
      <w:lvlJc w:val="left"/>
      <w:pPr>
        <w:ind w:left="786" w:hanging="360"/>
      </w:pPr>
    </w:lvl>
    <w:lvl w:ilvl="1" w:tentative="0">
      <w:start w:val="1"/>
      <w:numFmt w:val="lowerLetter"/>
      <w:lvlText w:val="%2."/>
      <w:lvlJc w:val="left"/>
      <w:pPr>
        <w:ind w:left="644" w:hanging="360"/>
      </w:pPr>
      <w:rPr>
        <w:rFonts w:hint="default"/>
        <w:b/>
      </w:r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73">
    <w:nsid w:val="58450F5E"/>
    <w:multiLevelType w:val="multilevel"/>
    <w:tmpl w:val="58450F5E"/>
    <w:lvl w:ilvl="0" w:tentative="0">
      <w:start w:val="8"/>
      <w:numFmt w:val="bullet"/>
      <w:lvlText w:val="-"/>
      <w:lvlJc w:val="left"/>
      <w:pPr>
        <w:ind w:left="785" w:hanging="360"/>
      </w:pPr>
      <w:rPr>
        <w:rFonts w:hint="default" w:ascii="Tahoma" w:hAnsi="Tahoma" w:cs="Tahoma" w:eastAsiaTheme="minorHAnsi"/>
      </w:rPr>
    </w:lvl>
    <w:lvl w:ilvl="1" w:tentative="0">
      <w:start w:val="1"/>
      <w:numFmt w:val="bullet"/>
      <w:lvlText w:val="o"/>
      <w:lvlJc w:val="left"/>
      <w:pPr>
        <w:ind w:left="1505" w:hanging="360"/>
      </w:pPr>
      <w:rPr>
        <w:rFonts w:hint="default" w:ascii="Courier New" w:hAnsi="Courier New" w:cs="Courier New"/>
      </w:rPr>
    </w:lvl>
    <w:lvl w:ilvl="2" w:tentative="0">
      <w:start w:val="1"/>
      <w:numFmt w:val="bullet"/>
      <w:lvlText w:val=""/>
      <w:lvlJc w:val="left"/>
      <w:pPr>
        <w:ind w:left="2225" w:hanging="360"/>
      </w:pPr>
      <w:rPr>
        <w:rFonts w:hint="default" w:ascii="Wingdings" w:hAnsi="Wingdings"/>
      </w:rPr>
    </w:lvl>
    <w:lvl w:ilvl="3" w:tentative="0">
      <w:start w:val="1"/>
      <w:numFmt w:val="bullet"/>
      <w:lvlText w:val=""/>
      <w:lvlJc w:val="left"/>
      <w:pPr>
        <w:ind w:left="2945" w:hanging="360"/>
      </w:pPr>
      <w:rPr>
        <w:rFonts w:hint="default" w:ascii="Symbol" w:hAnsi="Symbol"/>
      </w:rPr>
    </w:lvl>
    <w:lvl w:ilvl="4" w:tentative="0">
      <w:start w:val="1"/>
      <w:numFmt w:val="bullet"/>
      <w:lvlText w:val="o"/>
      <w:lvlJc w:val="left"/>
      <w:pPr>
        <w:ind w:left="3665" w:hanging="360"/>
      </w:pPr>
      <w:rPr>
        <w:rFonts w:hint="default" w:ascii="Courier New" w:hAnsi="Courier New" w:cs="Courier New"/>
      </w:rPr>
    </w:lvl>
    <w:lvl w:ilvl="5" w:tentative="0">
      <w:start w:val="1"/>
      <w:numFmt w:val="bullet"/>
      <w:lvlText w:val=""/>
      <w:lvlJc w:val="left"/>
      <w:pPr>
        <w:ind w:left="4385" w:hanging="360"/>
      </w:pPr>
      <w:rPr>
        <w:rFonts w:hint="default" w:ascii="Wingdings" w:hAnsi="Wingdings"/>
      </w:rPr>
    </w:lvl>
    <w:lvl w:ilvl="6" w:tentative="0">
      <w:start w:val="1"/>
      <w:numFmt w:val="bullet"/>
      <w:lvlText w:val=""/>
      <w:lvlJc w:val="left"/>
      <w:pPr>
        <w:ind w:left="5105" w:hanging="360"/>
      </w:pPr>
      <w:rPr>
        <w:rFonts w:hint="default" w:ascii="Symbol" w:hAnsi="Symbol"/>
      </w:rPr>
    </w:lvl>
    <w:lvl w:ilvl="7" w:tentative="0">
      <w:start w:val="1"/>
      <w:numFmt w:val="bullet"/>
      <w:lvlText w:val="o"/>
      <w:lvlJc w:val="left"/>
      <w:pPr>
        <w:ind w:left="5825" w:hanging="360"/>
      </w:pPr>
      <w:rPr>
        <w:rFonts w:hint="default" w:ascii="Courier New" w:hAnsi="Courier New" w:cs="Courier New"/>
      </w:rPr>
    </w:lvl>
    <w:lvl w:ilvl="8" w:tentative="0">
      <w:start w:val="1"/>
      <w:numFmt w:val="bullet"/>
      <w:lvlText w:val=""/>
      <w:lvlJc w:val="left"/>
      <w:pPr>
        <w:ind w:left="6545" w:hanging="360"/>
      </w:pPr>
      <w:rPr>
        <w:rFonts w:hint="default" w:ascii="Wingdings" w:hAnsi="Wingdings"/>
      </w:rPr>
    </w:lvl>
  </w:abstractNum>
  <w:abstractNum w:abstractNumId="74">
    <w:nsid w:val="58B3135B"/>
    <w:multiLevelType w:val="multilevel"/>
    <w:tmpl w:val="58B3135B"/>
    <w:lvl w:ilvl="0" w:tentative="0">
      <w:start w:val="1"/>
      <w:numFmt w:val="decimal"/>
      <w:lvlText w:val="%1."/>
      <w:lvlJc w:val="left"/>
      <w:pPr>
        <w:ind w:left="502" w:hanging="360"/>
      </w:pPr>
      <w:rPr>
        <w:rFonts w:hint="default"/>
      </w:rPr>
    </w:lvl>
    <w:lvl w:ilvl="1" w:tentative="0">
      <w:start w:val="1"/>
      <w:numFmt w:val="decimal"/>
      <w:isLgl/>
      <w:lvlText w:val="%1.%2."/>
      <w:lvlJc w:val="left"/>
      <w:pPr>
        <w:ind w:left="862" w:hanging="720"/>
      </w:pPr>
      <w:rPr>
        <w:rFonts w:hint="default"/>
      </w:rPr>
    </w:lvl>
    <w:lvl w:ilvl="2" w:tentative="0">
      <w:start w:val="1"/>
      <w:numFmt w:val="decimal"/>
      <w:isLgl/>
      <w:lvlText w:val="%1.%2.%3."/>
      <w:lvlJc w:val="left"/>
      <w:pPr>
        <w:ind w:left="862" w:hanging="720"/>
      </w:pPr>
      <w:rPr>
        <w:rFonts w:hint="default"/>
      </w:rPr>
    </w:lvl>
    <w:lvl w:ilvl="3" w:tentative="0">
      <w:start w:val="1"/>
      <w:numFmt w:val="decimal"/>
      <w:isLgl/>
      <w:lvlText w:val="%1.%2.%3.%4."/>
      <w:lvlJc w:val="left"/>
      <w:pPr>
        <w:ind w:left="1222" w:hanging="1080"/>
      </w:pPr>
      <w:rPr>
        <w:rFonts w:hint="default"/>
      </w:rPr>
    </w:lvl>
    <w:lvl w:ilvl="4" w:tentative="0">
      <w:start w:val="1"/>
      <w:numFmt w:val="decimal"/>
      <w:isLgl/>
      <w:lvlText w:val="%1.%2.%3.%4.%5."/>
      <w:lvlJc w:val="left"/>
      <w:pPr>
        <w:ind w:left="1582" w:hanging="1440"/>
      </w:pPr>
      <w:rPr>
        <w:rFonts w:hint="default"/>
      </w:rPr>
    </w:lvl>
    <w:lvl w:ilvl="5" w:tentative="0">
      <w:start w:val="1"/>
      <w:numFmt w:val="decimal"/>
      <w:isLgl/>
      <w:lvlText w:val="%1.%2.%3.%4.%5.%6."/>
      <w:lvlJc w:val="left"/>
      <w:pPr>
        <w:ind w:left="1582" w:hanging="1440"/>
      </w:pPr>
      <w:rPr>
        <w:rFonts w:hint="default"/>
      </w:rPr>
    </w:lvl>
    <w:lvl w:ilvl="6" w:tentative="0">
      <w:start w:val="1"/>
      <w:numFmt w:val="decimal"/>
      <w:isLgl/>
      <w:lvlText w:val="%1.%2.%3.%4.%5.%6.%7."/>
      <w:lvlJc w:val="left"/>
      <w:pPr>
        <w:ind w:left="1942" w:hanging="1800"/>
      </w:pPr>
      <w:rPr>
        <w:rFonts w:hint="default"/>
      </w:rPr>
    </w:lvl>
    <w:lvl w:ilvl="7" w:tentative="0">
      <w:start w:val="1"/>
      <w:numFmt w:val="decimal"/>
      <w:isLgl/>
      <w:lvlText w:val="%1.%2.%3.%4.%5.%6.%7.%8."/>
      <w:lvlJc w:val="left"/>
      <w:pPr>
        <w:ind w:left="1942" w:hanging="1800"/>
      </w:pPr>
      <w:rPr>
        <w:rFonts w:hint="default"/>
      </w:rPr>
    </w:lvl>
    <w:lvl w:ilvl="8" w:tentative="0">
      <w:start w:val="1"/>
      <w:numFmt w:val="decimal"/>
      <w:isLgl/>
      <w:lvlText w:val="%1.%2.%3.%4.%5.%6.%7.%8.%9."/>
      <w:lvlJc w:val="left"/>
      <w:pPr>
        <w:ind w:left="2302" w:hanging="2160"/>
      </w:pPr>
      <w:rPr>
        <w:rFonts w:hint="default"/>
      </w:rPr>
    </w:lvl>
  </w:abstractNum>
  <w:abstractNum w:abstractNumId="75">
    <w:nsid w:val="5A5B209B"/>
    <w:multiLevelType w:val="multilevel"/>
    <w:tmpl w:val="5A5B209B"/>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76">
    <w:nsid w:val="5B127A2E"/>
    <w:multiLevelType w:val="multilevel"/>
    <w:tmpl w:val="5B127A2E"/>
    <w:lvl w:ilvl="0" w:tentative="0">
      <w:start w:val="1"/>
      <w:numFmt w:val="bullet"/>
      <w:lvlText w:val=""/>
      <w:lvlJc w:val="left"/>
      <w:pPr>
        <w:ind w:left="502" w:hanging="360"/>
      </w:pPr>
      <w:rPr>
        <w:rFonts w:hint="default" w:ascii="Wingdings" w:hAnsi="Wingdings"/>
      </w:rPr>
    </w:lvl>
    <w:lvl w:ilvl="1" w:tentative="0">
      <w:start w:val="1"/>
      <w:numFmt w:val="bullet"/>
      <w:lvlText w:val="o"/>
      <w:lvlJc w:val="left"/>
      <w:pPr>
        <w:ind w:left="1222" w:hanging="360"/>
      </w:pPr>
      <w:rPr>
        <w:rFonts w:hint="default" w:ascii="Courier New" w:hAnsi="Courier New" w:cs="Courier New"/>
      </w:rPr>
    </w:lvl>
    <w:lvl w:ilvl="2" w:tentative="0">
      <w:start w:val="1"/>
      <w:numFmt w:val="bullet"/>
      <w:lvlText w:val=""/>
      <w:lvlJc w:val="left"/>
      <w:pPr>
        <w:ind w:left="1942" w:hanging="360"/>
      </w:pPr>
      <w:rPr>
        <w:rFonts w:hint="default" w:ascii="Wingdings" w:hAnsi="Wingdings"/>
      </w:rPr>
    </w:lvl>
    <w:lvl w:ilvl="3" w:tentative="0">
      <w:start w:val="1"/>
      <w:numFmt w:val="bullet"/>
      <w:lvlText w:val=""/>
      <w:lvlJc w:val="left"/>
      <w:pPr>
        <w:ind w:left="2662" w:hanging="360"/>
      </w:pPr>
      <w:rPr>
        <w:rFonts w:hint="default" w:ascii="Symbol" w:hAnsi="Symbol"/>
      </w:rPr>
    </w:lvl>
    <w:lvl w:ilvl="4" w:tentative="0">
      <w:start w:val="1"/>
      <w:numFmt w:val="bullet"/>
      <w:lvlText w:val="o"/>
      <w:lvlJc w:val="left"/>
      <w:pPr>
        <w:ind w:left="3382" w:hanging="360"/>
      </w:pPr>
      <w:rPr>
        <w:rFonts w:hint="default" w:ascii="Courier New" w:hAnsi="Courier New" w:cs="Courier New"/>
      </w:rPr>
    </w:lvl>
    <w:lvl w:ilvl="5" w:tentative="0">
      <w:start w:val="1"/>
      <w:numFmt w:val="bullet"/>
      <w:lvlText w:val=""/>
      <w:lvlJc w:val="left"/>
      <w:pPr>
        <w:ind w:left="4102" w:hanging="360"/>
      </w:pPr>
      <w:rPr>
        <w:rFonts w:hint="default" w:ascii="Wingdings" w:hAnsi="Wingdings"/>
      </w:rPr>
    </w:lvl>
    <w:lvl w:ilvl="6" w:tentative="0">
      <w:start w:val="1"/>
      <w:numFmt w:val="bullet"/>
      <w:lvlText w:val=""/>
      <w:lvlJc w:val="left"/>
      <w:pPr>
        <w:ind w:left="4822" w:hanging="360"/>
      </w:pPr>
      <w:rPr>
        <w:rFonts w:hint="default" w:ascii="Symbol" w:hAnsi="Symbol"/>
      </w:rPr>
    </w:lvl>
    <w:lvl w:ilvl="7" w:tentative="0">
      <w:start w:val="1"/>
      <w:numFmt w:val="bullet"/>
      <w:lvlText w:val="o"/>
      <w:lvlJc w:val="left"/>
      <w:pPr>
        <w:ind w:left="5542" w:hanging="360"/>
      </w:pPr>
      <w:rPr>
        <w:rFonts w:hint="default" w:ascii="Courier New" w:hAnsi="Courier New" w:cs="Courier New"/>
      </w:rPr>
    </w:lvl>
    <w:lvl w:ilvl="8" w:tentative="0">
      <w:start w:val="1"/>
      <w:numFmt w:val="bullet"/>
      <w:lvlText w:val=""/>
      <w:lvlJc w:val="left"/>
      <w:pPr>
        <w:ind w:left="6262" w:hanging="360"/>
      </w:pPr>
      <w:rPr>
        <w:rFonts w:hint="default" w:ascii="Wingdings" w:hAnsi="Wingdings"/>
      </w:rPr>
    </w:lvl>
  </w:abstractNum>
  <w:abstractNum w:abstractNumId="77">
    <w:nsid w:val="5BD9500A"/>
    <w:multiLevelType w:val="multilevel"/>
    <w:tmpl w:val="5BD9500A"/>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78">
    <w:nsid w:val="5CC12AC5"/>
    <w:multiLevelType w:val="multilevel"/>
    <w:tmpl w:val="5CC12AC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5D640233"/>
    <w:multiLevelType w:val="multilevel"/>
    <w:tmpl w:val="5D640233"/>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0">
    <w:nsid w:val="5E146BA8"/>
    <w:multiLevelType w:val="multilevel"/>
    <w:tmpl w:val="5E146BA8"/>
    <w:lvl w:ilvl="0" w:tentative="0">
      <w:start w:val="1"/>
      <w:numFmt w:val="bullet"/>
      <w:lvlText w:val=""/>
      <w:lvlJc w:val="left"/>
      <w:pPr>
        <w:ind w:left="502" w:hanging="360"/>
      </w:pPr>
      <w:rPr>
        <w:rFonts w:hint="default" w:ascii="Wingdings" w:hAnsi="Wingdings"/>
      </w:rPr>
    </w:lvl>
    <w:lvl w:ilvl="1" w:tentative="0">
      <w:start w:val="1"/>
      <w:numFmt w:val="bullet"/>
      <w:lvlText w:val="o"/>
      <w:lvlJc w:val="left"/>
      <w:pPr>
        <w:ind w:left="1222" w:hanging="360"/>
      </w:pPr>
      <w:rPr>
        <w:rFonts w:hint="default" w:ascii="Courier New" w:hAnsi="Courier New" w:cs="Courier New"/>
      </w:rPr>
    </w:lvl>
    <w:lvl w:ilvl="2" w:tentative="0">
      <w:start w:val="1"/>
      <w:numFmt w:val="bullet"/>
      <w:lvlText w:val=""/>
      <w:lvlJc w:val="left"/>
      <w:pPr>
        <w:ind w:left="1942" w:hanging="360"/>
      </w:pPr>
      <w:rPr>
        <w:rFonts w:hint="default" w:ascii="Wingdings" w:hAnsi="Wingdings"/>
      </w:rPr>
    </w:lvl>
    <w:lvl w:ilvl="3" w:tentative="0">
      <w:start w:val="1"/>
      <w:numFmt w:val="bullet"/>
      <w:lvlText w:val=""/>
      <w:lvlJc w:val="left"/>
      <w:pPr>
        <w:ind w:left="2662" w:hanging="360"/>
      </w:pPr>
      <w:rPr>
        <w:rFonts w:hint="default" w:ascii="Symbol" w:hAnsi="Symbol"/>
      </w:rPr>
    </w:lvl>
    <w:lvl w:ilvl="4" w:tentative="0">
      <w:start w:val="1"/>
      <w:numFmt w:val="bullet"/>
      <w:lvlText w:val="o"/>
      <w:lvlJc w:val="left"/>
      <w:pPr>
        <w:ind w:left="3382" w:hanging="360"/>
      </w:pPr>
      <w:rPr>
        <w:rFonts w:hint="default" w:ascii="Courier New" w:hAnsi="Courier New" w:cs="Courier New"/>
      </w:rPr>
    </w:lvl>
    <w:lvl w:ilvl="5" w:tentative="0">
      <w:start w:val="1"/>
      <w:numFmt w:val="bullet"/>
      <w:lvlText w:val=""/>
      <w:lvlJc w:val="left"/>
      <w:pPr>
        <w:ind w:left="4102" w:hanging="360"/>
      </w:pPr>
      <w:rPr>
        <w:rFonts w:hint="default" w:ascii="Wingdings" w:hAnsi="Wingdings"/>
      </w:rPr>
    </w:lvl>
    <w:lvl w:ilvl="6" w:tentative="0">
      <w:start w:val="1"/>
      <w:numFmt w:val="bullet"/>
      <w:lvlText w:val=""/>
      <w:lvlJc w:val="left"/>
      <w:pPr>
        <w:ind w:left="4822" w:hanging="360"/>
      </w:pPr>
      <w:rPr>
        <w:rFonts w:hint="default" w:ascii="Symbol" w:hAnsi="Symbol"/>
      </w:rPr>
    </w:lvl>
    <w:lvl w:ilvl="7" w:tentative="0">
      <w:start w:val="1"/>
      <w:numFmt w:val="bullet"/>
      <w:lvlText w:val="o"/>
      <w:lvlJc w:val="left"/>
      <w:pPr>
        <w:ind w:left="5542" w:hanging="360"/>
      </w:pPr>
      <w:rPr>
        <w:rFonts w:hint="default" w:ascii="Courier New" w:hAnsi="Courier New" w:cs="Courier New"/>
      </w:rPr>
    </w:lvl>
    <w:lvl w:ilvl="8" w:tentative="0">
      <w:start w:val="1"/>
      <w:numFmt w:val="bullet"/>
      <w:lvlText w:val=""/>
      <w:lvlJc w:val="left"/>
      <w:pPr>
        <w:ind w:left="6262" w:hanging="360"/>
      </w:pPr>
      <w:rPr>
        <w:rFonts w:hint="default" w:ascii="Wingdings" w:hAnsi="Wingdings"/>
      </w:rPr>
    </w:lvl>
  </w:abstractNum>
  <w:abstractNum w:abstractNumId="81">
    <w:nsid w:val="5F807871"/>
    <w:multiLevelType w:val="multilevel"/>
    <w:tmpl w:val="5F807871"/>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2">
    <w:nsid w:val="60FA2886"/>
    <w:multiLevelType w:val="multilevel"/>
    <w:tmpl w:val="60FA2886"/>
    <w:lvl w:ilvl="0" w:tentative="0">
      <w:start w:val="8"/>
      <w:numFmt w:val="bullet"/>
      <w:lvlText w:val="-"/>
      <w:lvlJc w:val="left"/>
      <w:pPr>
        <w:ind w:left="1353" w:hanging="360"/>
      </w:pPr>
      <w:rPr>
        <w:rFonts w:hint="default" w:ascii="Tahoma" w:hAnsi="Tahoma" w:cs="Tahoma" w:eastAsiaTheme="minorHAnsi"/>
      </w:rPr>
    </w:lvl>
    <w:lvl w:ilvl="1" w:tentative="0">
      <w:start w:val="1"/>
      <w:numFmt w:val="bullet"/>
      <w:lvlText w:val="o"/>
      <w:lvlJc w:val="left"/>
      <w:pPr>
        <w:ind w:left="1647" w:hanging="360"/>
      </w:pPr>
      <w:rPr>
        <w:rFonts w:hint="default" w:ascii="Courier New" w:hAnsi="Courier New" w:cs="Courier New"/>
      </w:rPr>
    </w:lvl>
    <w:lvl w:ilvl="2" w:tentative="0">
      <w:start w:val="1"/>
      <w:numFmt w:val="bullet"/>
      <w:lvlText w:val=""/>
      <w:lvlJc w:val="left"/>
      <w:pPr>
        <w:ind w:left="2367" w:hanging="360"/>
      </w:pPr>
      <w:rPr>
        <w:rFonts w:hint="default" w:ascii="Wingdings" w:hAnsi="Wingdings"/>
      </w:rPr>
    </w:lvl>
    <w:lvl w:ilvl="3" w:tentative="0">
      <w:start w:val="1"/>
      <w:numFmt w:val="bullet"/>
      <w:lvlText w:val=""/>
      <w:lvlJc w:val="left"/>
      <w:pPr>
        <w:ind w:left="3087" w:hanging="360"/>
      </w:pPr>
      <w:rPr>
        <w:rFonts w:hint="default" w:ascii="Symbol" w:hAnsi="Symbol"/>
      </w:rPr>
    </w:lvl>
    <w:lvl w:ilvl="4" w:tentative="0">
      <w:start w:val="1"/>
      <w:numFmt w:val="bullet"/>
      <w:lvlText w:val="o"/>
      <w:lvlJc w:val="left"/>
      <w:pPr>
        <w:ind w:left="3807" w:hanging="360"/>
      </w:pPr>
      <w:rPr>
        <w:rFonts w:hint="default" w:ascii="Courier New" w:hAnsi="Courier New" w:cs="Courier New"/>
      </w:rPr>
    </w:lvl>
    <w:lvl w:ilvl="5" w:tentative="0">
      <w:start w:val="1"/>
      <w:numFmt w:val="bullet"/>
      <w:lvlText w:val=""/>
      <w:lvlJc w:val="left"/>
      <w:pPr>
        <w:ind w:left="4527" w:hanging="360"/>
      </w:pPr>
      <w:rPr>
        <w:rFonts w:hint="default" w:ascii="Wingdings" w:hAnsi="Wingdings"/>
      </w:rPr>
    </w:lvl>
    <w:lvl w:ilvl="6" w:tentative="0">
      <w:start w:val="1"/>
      <w:numFmt w:val="bullet"/>
      <w:lvlText w:val=""/>
      <w:lvlJc w:val="left"/>
      <w:pPr>
        <w:ind w:left="5247" w:hanging="360"/>
      </w:pPr>
      <w:rPr>
        <w:rFonts w:hint="default" w:ascii="Symbol" w:hAnsi="Symbol"/>
      </w:rPr>
    </w:lvl>
    <w:lvl w:ilvl="7" w:tentative="0">
      <w:start w:val="1"/>
      <w:numFmt w:val="bullet"/>
      <w:lvlText w:val="o"/>
      <w:lvlJc w:val="left"/>
      <w:pPr>
        <w:ind w:left="5967" w:hanging="360"/>
      </w:pPr>
      <w:rPr>
        <w:rFonts w:hint="default" w:ascii="Courier New" w:hAnsi="Courier New" w:cs="Courier New"/>
      </w:rPr>
    </w:lvl>
    <w:lvl w:ilvl="8" w:tentative="0">
      <w:start w:val="1"/>
      <w:numFmt w:val="bullet"/>
      <w:lvlText w:val=""/>
      <w:lvlJc w:val="left"/>
      <w:pPr>
        <w:ind w:left="6687" w:hanging="360"/>
      </w:pPr>
      <w:rPr>
        <w:rFonts w:hint="default" w:ascii="Wingdings" w:hAnsi="Wingdings"/>
      </w:rPr>
    </w:lvl>
  </w:abstractNum>
  <w:abstractNum w:abstractNumId="83">
    <w:nsid w:val="622C094C"/>
    <w:multiLevelType w:val="multilevel"/>
    <w:tmpl w:val="622C094C"/>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84">
    <w:nsid w:val="6256525F"/>
    <w:multiLevelType w:val="multilevel"/>
    <w:tmpl w:val="6256525F"/>
    <w:lvl w:ilvl="0" w:tentative="0">
      <w:start w:val="1"/>
      <w:numFmt w:val="bullet"/>
      <w:lvlText w:val=""/>
      <w:lvlJc w:val="left"/>
      <w:pPr>
        <w:ind w:left="785" w:hanging="360"/>
      </w:pPr>
      <w:rPr>
        <w:rFonts w:hint="default" w:ascii="Wingdings" w:hAnsi="Wingdings"/>
      </w:rPr>
    </w:lvl>
    <w:lvl w:ilvl="1" w:tentative="0">
      <w:start w:val="1"/>
      <w:numFmt w:val="bullet"/>
      <w:lvlText w:val="o"/>
      <w:lvlJc w:val="left"/>
      <w:pPr>
        <w:ind w:left="1505" w:hanging="360"/>
      </w:pPr>
      <w:rPr>
        <w:rFonts w:hint="default" w:ascii="Courier New" w:hAnsi="Courier New" w:cs="Courier New"/>
      </w:rPr>
    </w:lvl>
    <w:lvl w:ilvl="2" w:tentative="0">
      <w:start w:val="1"/>
      <w:numFmt w:val="bullet"/>
      <w:lvlText w:val=""/>
      <w:lvlJc w:val="left"/>
      <w:pPr>
        <w:ind w:left="2225" w:hanging="360"/>
      </w:pPr>
      <w:rPr>
        <w:rFonts w:hint="default" w:ascii="Wingdings" w:hAnsi="Wingdings"/>
      </w:rPr>
    </w:lvl>
    <w:lvl w:ilvl="3" w:tentative="0">
      <w:start w:val="1"/>
      <w:numFmt w:val="bullet"/>
      <w:lvlText w:val=""/>
      <w:lvlJc w:val="left"/>
      <w:pPr>
        <w:ind w:left="2945" w:hanging="360"/>
      </w:pPr>
      <w:rPr>
        <w:rFonts w:hint="default" w:ascii="Symbol" w:hAnsi="Symbol"/>
      </w:rPr>
    </w:lvl>
    <w:lvl w:ilvl="4" w:tentative="0">
      <w:start w:val="1"/>
      <w:numFmt w:val="bullet"/>
      <w:lvlText w:val="o"/>
      <w:lvlJc w:val="left"/>
      <w:pPr>
        <w:ind w:left="3665" w:hanging="360"/>
      </w:pPr>
      <w:rPr>
        <w:rFonts w:hint="default" w:ascii="Courier New" w:hAnsi="Courier New" w:cs="Courier New"/>
      </w:rPr>
    </w:lvl>
    <w:lvl w:ilvl="5" w:tentative="0">
      <w:start w:val="1"/>
      <w:numFmt w:val="bullet"/>
      <w:lvlText w:val=""/>
      <w:lvlJc w:val="left"/>
      <w:pPr>
        <w:ind w:left="4385" w:hanging="360"/>
      </w:pPr>
      <w:rPr>
        <w:rFonts w:hint="default" w:ascii="Wingdings" w:hAnsi="Wingdings"/>
      </w:rPr>
    </w:lvl>
    <w:lvl w:ilvl="6" w:tentative="0">
      <w:start w:val="1"/>
      <w:numFmt w:val="bullet"/>
      <w:lvlText w:val=""/>
      <w:lvlJc w:val="left"/>
      <w:pPr>
        <w:ind w:left="5105" w:hanging="360"/>
      </w:pPr>
      <w:rPr>
        <w:rFonts w:hint="default" w:ascii="Symbol" w:hAnsi="Symbol"/>
      </w:rPr>
    </w:lvl>
    <w:lvl w:ilvl="7" w:tentative="0">
      <w:start w:val="1"/>
      <w:numFmt w:val="bullet"/>
      <w:lvlText w:val="o"/>
      <w:lvlJc w:val="left"/>
      <w:pPr>
        <w:ind w:left="5825" w:hanging="360"/>
      </w:pPr>
      <w:rPr>
        <w:rFonts w:hint="default" w:ascii="Courier New" w:hAnsi="Courier New" w:cs="Courier New"/>
      </w:rPr>
    </w:lvl>
    <w:lvl w:ilvl="8" w:tentative="0">
      <w:start w:val="1"/>
      <w:numFmt w:val="bullet"/>
      <w:lvlText w:val=""/>
      <w:lvlJc w:val="left"/>
      <w:pPr>
        <w:ind w:left="6545" w:hanging="360"/>
      </w:pPr>
      <w:rPr>
        <w:rFonts w:hint="default" w:ascii="Wingdings" w:hAnsi="Wingdings"/>
      </w:rPr>
    </w:lvl>
  </w:abstractNum>
  <w:abstractNum w:abstractNumId="85">
    <w:nsid w:val="654731EC"/>
    <w:multiLevelType w:val="multilevel"/>
    <w:tmpl w:val="654731EC"/>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6">
    <w:nsid w:val="65972286"/>
    <w:multiLevelType w:val="multilevel"/>
    <w:tmpl w:val="65972286"/>
    <w:lvl w:ilvl="0" w:tentative="0">
      <w:start w:val="8"/>
      <w:numFmt w:val="bullet"/>
      <w:lvlText w:val="-"/>
      <w:lvlJc w:val="left"/>
      <w:pPr>
        <w:ind w:left="785" w:hanging="360"/>
      </w:pPr>
      <w:rPr>
        <w:rFonts w:hint="default" w:ascii="Tahoma" w:hAnsi="Tahoma" w:cs="Tahoma" w:eastAsiaTheme="minorHAnsi"/>
      </w:rPr>
    </w:lvl>
    <w:lvl w:ilvl="1" w:tentative="0">
      <w:start w:val="1"/>
      <w:numFmt w:val="bullet"/>
      <w:lvlText w:val="o"/>
      <w:lvlJc w:val="left"/>
      <w:pPr>
        <w:ind w:left="1505" w:hanging="360"/>
      </w:pPr>
      <w:rPr>
        <w:rFonts w:hint="default" w:ascii="Courier New" w:hAnsi="Courier New" w:cs="Courier New"/>
      </w:rPr>
    </w:lvl>
    <w:lvl w:ilvl="2" w:tentative="0">
      <w:start w:val="1"/>
      <w:numFmt w:val="bullet"/>
      <w:lvlText w:val=""/>
      <w:lvlJc w:val="left"/>
      <w:pPr>
        <w:ind w:left="2225" w:hanging="360"/>
      </w:pPr>
      <w:rPr>
        <w:rFonts w:hint="default" w:ascii="Wingdings" w:hAnsi="Wingdings"/>
      </w:rPr>
    </w:lvl>
    <w:lvl w:ilvl="3" w:tentative="0">
      <w:start w:val="1"/>
      <w:numFmt w:val="bullet"/>
      <w:lvlText w:val=""/>
      <w:lvlJc w:val="left"/>
      <w:pPr>
        <w:ind w:left="2945" w:hanging="360"/>
      </w:pPr>
      <w:rPr>
        <w:rFonts w:hint="default" w:ascii="Symbol" w:hAnsi="Symbol"/>
      </w:rPr>
    </w:lvl>
    <w:lvl w:ilvl="4" w:tentative="0">
      <w:start w:val="1"/>
      <w:numFmt w:val="bullet"/>
      <w:lvlText w:val="o"/>
      <w:lvlJc w:val="left"/>
      <w:pPr>
        <w:ind w:left="3665" w:hanging="360"/>
      </w:pPr>
      <w:rPr>
        <w:rFonts w:hint="default" w:ascii="Courier New" w:hAnsi="Courier New" w:cs="Courier New"/>
      </w:rPr>
    </w:lvl>
    <w:lvl w:ilvl="5" w:tentative="0">
      <w:start w:val="1"/>
      <w:numFmt w:val="bullet"/>
      <w:lvlText w:val=""/>
      <w:lvlJc w:val="left"/>
      <w:pPr>
        <w:ind w:left="4385" w:hanging="360"/>
      </w:pPr>
      <w:rPr>
        <w:rFonts w:hint="default" w:ascii="Wingdings" w:hAnsi="Wingdings"/>
      </w:rPr>
    </w:lvl>
    <w:lvl w:ilvl="6" w:tentative="0">
      <w:start w:val="1"/>
      <w:numFmt w:val="bullet"/>
      <w:lvlText w:val=""/>
      <w:lvlJc w:val="left"/>
      <w:pPr>
        <w:ind w:left="5105" w:hanging="360"/>
      </w:pPr>
      <w:rPr>
        <w:rFonts w:hint="default" w:ascii="Symbol" w:hAnsi="Symbol"/>
      </w:rPr>
    </w:lvl>
    <w:lvl w:ilvl="7" w:tentative="0">
      <w:start w:val="1"/>
      <w:numFmt w:val="bullet"/>
      <w:lvlText w:val="o"/>
      <w:lvlJc w:val="left"/>
      <w:pPr>
        <w:ind w:left="5825" w:hanging="360"/>
      </w:pPr>
      <w:rPr>
        <w:rFonts w:hint="default" w:ascii="Courier New" w:hAnsi="Courier New" w:cs="Courier New"/>
      </w:rPr>
    </w:lvl>
    <w:lvl w:ilvl="8" w:tentative="0">
      <w:start w:val="1"/>
      <w:numFmt w:val="bullet"/>
      <w:lvlText w:val=""/>
      <w:lvlJc w:val="left"/>
      <w:pPr>
        <w:ind w:left="6545" w:hanging="360"/>
      </w:pPr>
      <w:rPr>
        <w:rFonts w:hint="default" w:ascii="Wingdings" w:hAnsi="Wingdings"/>
      </w:rPr>
    </w:lvl>
  </w:abstractNum>
  <w:abstractNum w:abstractNumId="87">
    <w:nsid w:val="65E72A19"/>
    <w:multiLevelType w:val="multilevel"/>
    <w:tmpl w:val="65E72A19"/>
    <w:lvl w:ilvl="0" w:tentative="0">
      <w:start w:val="1"/>
      <w:numFmt w:val="bullet"/>
      <w:lvlText w:val=""/>
      <w:lvlJc w:val="left"/>
      <w:pPr>
        <w:ind w:left="720" w:hanging="360"/>
      </w:pPr>
      <w:rPr>
        <w:rFonts w:hint="default" w:ascii="Wingdings" w:hAnsi="Wingding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8">
    <w:nsid w:val="66383ADA"/>
    <w:multiLevelType w:val="multilevel"/>
    <w:tmpl w:val="66383ADA"/>
    <w:lvl w:ilvl="0" w:tentative="0">
      <w:start w:val="1"/>
      <w:numFmt w:val="bullet"/>
      <w:lvlText w:val=""/>
      <w:lvlJc w:val="left"/>
      <w:pPr>
        <w:ind w:left="786" w:hanging="360"/>
      </w:pPr>
      <w:rPr>
        <w:rFonts w:hint="default" w:ascii="Wingdings" w:hAnsi="Wingdings"/>
      </w:rPr>
    </w:lvl>
    <w:lvl w:ilvl="1" w:tentative="0">
      <w:start w:val="0"/>
      <w:numFmt w:val="bullet"/>
      <w:lvlText w:val=""/>
      <w:lvlJc w:val="left"/>
      <w:pPr>
        <w:ind w:left="1440" w:hanging="360"/>
      </w:pPr>
      <w:rPr>
        <w:rFonts w:hint="default" w:ascii="Century Gothic" w:hAnsi="Century Gothic" w:cs="Calibri" w:eastAsiaTheme="minorHAnsi"/>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9">
    <w:nsid w:val="69C320DA"/>
    <w:multiLevelType w:val="multilevel"/>
    <w:tmpl w:val="69C320DA"/>
    <w:lvl w:ilvl="0" w:tentative="0">
      <w:start w:val="1"/>
      <w:numFmt w:val="bullet"/>
      <w:lvlText w:val=""/>
      <w:lvlJc w:val="left"/>
      <w:pPr>
        <w:ind w:left="1222" w:hanging="360"/>
      </w:pPr>
      <w:rPr>
        <w:rFonts w:hint="default" w:ascii="Wingdings" w:hAnsi="Wingdings"/>
      </w:rPr>
    </w:lvl>
    <w:lvl w:ilvl="1" w:tentative="0">
      <w:start w:val="1"/>
      <w:numFmt w:val="bullet"/>
      <w:lvlText w:val="o"/>
      <w:lvlJc w:val="left"/>
      <w:pPr>
        <w:ind w:left="1942" w:hanging="360"/>
      </w:pPr>
      <w:rPr>
        <w:rFonts w:hint="default" w:ascii="Courier New" w:hAnsi="Courier New" w:cs="Courier New"/>
      </w:rPr>
    </w:lvl>
    <w:lvl w:ilvl="2" w:tentative="0">
      <w:start w:val="1"/>
      <w:numFmt w:val="bullet"/>
      <w:lvlText w:val=""/>
      <w:lvlJc w:val="left"/>
      <w:pPr>
        <w:ind w:left="2662" w:hanging="360"/>
      </w:pPr>
      <w:rPr>
        <w:rFonts w:hint="default" w:ascii="Wingdings" w:hAnsi="Wingdings"/>
      </w:rPr>
    </w:lvl>
    <w:lvl w:ilvl="3" w:tentative="0">
      <w:start w:val="1"/>
      <w:numFmt w:val="bullet"/>
      <w:lvlText w:val=""/>
      <w:lvlJc w:val="left"/>
      <w:pPr>
        <w:ind w:left="3382" w:hanging="360"/>
      </w:pPr>
      <w:rPr>
        <w:rFonts w:hint="default" w:ascii="Symbol" w:hAnsi="Symbol"/>
      </w:rPr>
    </w:lvl>
    <w:lvl w:ilvl="4" w:tentative="0">
      <w:start w:val="1"/>
      <w:numFmt w:val="bullet"/>
      <w:lvlText w:val="o"/>
      <w:lvlJc w:val="left"/>
      <w:pPr>
        <w:ind w:left="4102" w:hanging="360"/>
      </w:pPr>
      <w:rPr>
        <w:rFonts w:hint="default" w:ascii="Courier New" w:hAnsi="Courier New" w:cs="Courier New"/>
      </w:rPr>
    </w:lvl>
    <w:lvl w:ilvl="5" w:tentative="0">
      <w:start w:val="1"/>
      <w:numFmt w:val="bullet"/>
      <w:lvlText w:val=""/>
      <w:lvlJc w:val="left"/>
      <w:pPr>
        <w:ind w:left="4822" w:hanging="360"/>
      </w:pPr>
      <w:rPr>
        <w:rFonts w:hint="default" w:ascii="Wingdings" w:hAnsi="Wingdings"/>
      </w:rPr>
    </w:lvl>
    <w:lvl w:ilvl="6" w:tentative="0">
      <w:start w:val="1"/>
      <w:numFmt w:val="bullet"/>
      <w:lvlText w:val=""/>
      <w:lvlJc w:val="left"/>
      <w:pPr>
        <w:ind w:left="5542" w:hanging="360"/>
      </w:pPr>
      <w:rPr>
        <w:rFonts w:hint="default" w:ascii="Symbol" w:hAnsi="Symbol"/>
      </w:rPr>
    </w:lvl>
    <w:lvl w:ilvl="7" w:tentative="0">
      <w:start w:val="1"/>
      <w:numFmt w:val="bullet"/>
      <w:lvlText w:val="o"/>
      <w:lvlJc w:val="left"/>
      <w:pPr>
        <w:ind w:left="6262" w:hanging="360"/>
      </w:pPr>
      <w:rPr>
        <w:rFonts w:hint="default" w:ascii="Courier New" w:hAnsi="Courier New" w:cs="Courier New"/>
      </w:rPr>
    </w:lvl>
    <w:lvl w:ilvl="8" w:tentative="0">
      <w:start w:val="1"/>
      <w:numFmt w:val="bullet"/>
      <w:lvlText w:val=""/>
      <w:lvlJc w:val="left"/>
      <w:pPr>
        <w:ind w:left="6982" w:hanging="360"/>
      </w:pPr>
      <w:rPr>
        <w:rFonts w:hint="default" w:ascii="Wingdings" w:hAnsi="Wingdings"/>
      </w:rPr>
    </w:lvl>
  </w:abstractNum>
  <w:abstractNum w:abstractNumId="90">
    <w:nsid w:val="6A284C3B"/>
    <w:multiLevelType w:val="multilevel"/>
    <w:tmpl w:val="6A284C3B"/>
    <w:lvl w:ilvl="0" w:tentative="0">
      <w:start w:val="1"/>
      <w:numFmt w:val="decimal"/>
      <w:lvlText w:val="%1."/>
      <w:lvlJc w:val="left"/>
      <w:pPr>
        <w:ind w:left="720" w:hanging="360"/>
      </w:pPr>
      <w:rPr>
        <w:rFonts w:hint="default"/>
      </w:rPr>
    </w:lvl>
    <w:lvl w:ilvl="1" w:tentative="0">
      <w:start w:val="1"/>
      <w:numFmt w:val="decimal"/>
      <w:isLgl/>
      <w:lvlText w:val="%1.%2"/>
      <w:lvlJc w:val="left"/>
      <w:pPr>
        <w:ind w:left="1080" w:hanging="720"/>
      </w:pPr>
      <w:rPr>
        <w:rFonts w:hint="default"/>
      </w:rPr>
    </w:lvl>
    <w:lvl w:ilvl="2" w:tentative="0">
      <w:start w:val="1"/>
      <w:numFmt w:val="decimal"/>
      <w:isLgl/>
      <w:lvlText w:val="%1.%2.%3"/>
      <w:lvlJc w:val="left"/>
      <w:pPr>
        <w:ind w:left="1440" w:hanging="1080"/>
      </w:pPr>
      <w:rPr>
        <w:rFonts w:hint="default"/>
      </w:rPr>
    </w:lvl>
    <w:lvl w:ilvl="3" w:tentative="0">
      <w:start w:val="1"/>
      <w:numFmt w:val="decimal"/>
      <w:isLgl/>
      <w:lvlText w:val="%1.%2.%3.%4"/>
      <w:lvlJc w:val="left"/>
      <w:pPr>
        <w:ind w:left="1440" w:hanging="1080"/>
      </w:pPr>
      <w:rPr>
        <w:rFonts w:hint="default"/>
      </w:rPr>
    </w:lvl>
    <w:lvl w:ilvl="4" w:tentative="0">
      <w:start w:val="1"/>
      <w:numFmt w:val="decimal"/>
      <w:isLgl/>
      <w:lvlText w:val="%1.%2.%3.%4.%5"/>
      <w:lvlJc w:val="left"/>
      <w:pPr>
        <w:ind w:left="1800" w:hanging="1440"/>
      </w:pPr>
      <w:rPr>
        <w:rFonts w:hint="default"/>
      </w:rPr>
    </w:lvl>
    <w:lvl w:ilvl="5" w:tentative="0">
      <w:start w:val="1"/>
      <w:numFmt w:val="decimal"/>
      <w:isLgl/>
      <w:lvlText w:val="%1.%2.%3.%4.%5.%6"/>
      <w:lvlJc w:val="left"/>
      <w:pPr>
        <w:ind w:left="2160" w:hanging="1800"/>
      </w:pPr>
      <w:rPr>
        <w:rFonts w:hint="default"/>
      </w:rPr>
    </w:lvl>
    <w:lvl w:ilvl="6" w:tentative="0">
      <w:start w:val="1"/>
      <w:numFmt w:val="decimal"/>
      <w:isLgl/>
      <w:lvlText w:val="%1.%2.%3.%4.%5.%6.%7"/>
      <w:lvlJc w:val="left"/>
      <w:pPr>
        <w:ind w:left="2520" w:hanging="2160"/>
      </w:pPr>
      <w:rPr>
        <w:rFonts w:hint="default"/>
      </w:rPr>
    </w:lvl>
    <w:lvl w:ilvl="7" w:tentative="0">
      <w:start w:val="1"/>
      <w:numFmt w:val="decimal"/>
      <w:isLgl/>
      <w:lvlText w:val="%1.%2.%3.%4.%5.%6.%7.%8"/>
      <w:lvlJc w:val="left"/>
      <w:pPr>
        <w:ind w:left="2520" w:hanging="2160"/>
      </w:pPr>
      <w:rPr>
        <w:rFonts w:hint="default"/>
      </w:rPr>
    </w:lvl>
    <w:lvl w:ilvl="8" w:tentative="0">
      <w:start w:val="1"/>
      <w:numFmt w:val="decimal"/>
      <w:isLgl/>
      <w:lvlText w:val="%1.%2.%3.%4.%5.%6.%7.%8.%9"/>
      <w:lvlJc w:val="left"/>
      <w:pPr>
        <w:ind w:left="2880" w:hanging="2520"/>
      </w:pPr>
      <w:rPr>
        <w:rFonts w:hint="default"/>
      </w:rPr>
    </w:lvl>
  </w:abstractNum>
  <w:abstractNum w:abstractNumId="91">
    <w:nsid w:val="6E5918D5"/>
    <w:multiLevelType w:val="multilevel"/>
    <w:tmpl w:val="6E5918D5"/>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92">
    <w:nsid w:val="70192C1E"/>
    <w:multiLevelType w:val="multilevel"/>
    <w:tmpl w:val="70192C1E"/>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3">
    <w:nsid w:val="7058429C"/>
    <w:multiLevelType w:val="multilevel"/>
    <w:tmpl w:val="7058429C"/>
    <w:lvl w:ilvl="0" w:tentative="0">
      <w:start w:val="1"/>
      <w:numFmt w:val="bullet"/>
      <w:lvlText w:val=""/>
      <w:lvlJc w:val="left"/>
      <w:pPr>
        <w:ind w:left="720" w:hanging="360"/>
      </w:pPr>
      <w:rPr>
        <w:rFonts w:hint="default" w:ascii="Wingdings" w:hAnsi="Wingdings"/>
      </w:rPr>
    </w:lvl>
    <w:lvl w:ilvl="1" w:tentative="0">
      <w:start w:val="1"/>
      <w:numFmt w:val="bullet"/>
      <w:lvlText w:val=""/>
      <w:lvlJc w:val="left"/>
      <w:pPr>
        <w:ind w:left="501" w:hanging="360"/>
      </w:pPr>
      <w:rPr>
        <w:rFonts w:hint="default" w:ascii="Wingdings" w:hAnsi="Wingdings"/>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4">
    <w:nsid w:val="70833060"/>
    <w:multiLevelType w:val="multilevel"/>
    <w:tmpl w:val="70833060"/>
    <w:lvl w:ilvl="0" w:tentative="0">
      <w:start w:val="1"/>
      <w:numFmt w:val="bullet"/>
      <w:lvlText w:val=""/>
      <w:lvlJc w:val="left"/>
      <w:pPr>
        <w:ind w:left="1222" w:hanging="360"/>
      </w:pPr>
      <w:rPr>
        <w:rFonts w:hint="default" w:ascii="Wingdings" w:hAnsi="Wingdings"/>
      </w:rPr>
    </w:lvl>
    <w:lvl w:ilvl="1" w:tentative="0">
      <w:start w:val="1"/>
      <w:numFmt w:val="bullet"/>
      <w:lvlText w:val="o"/>
      <w:lvlJc w:val="left"/>
      <w:pPr>
        <w:ind w:left="1942" w:hanging="360"/>
      </w:pPr>
      <w:rPr>
        <w:rFonts w:hint="default" w:ascii="Courier New" w:hAnsi="Courier New" w:cs="Courier New"/>
      </w:rPr>
    </w:lvl>
    <w:lvl w:ilvl="2" w:tentative="0">
      <w:start w:val="1"/>
      <w:numFmt w:val="bullet"/>
      <w:lvlText w:val=""/>
      <w:lvlJc w:val="left"/>
      <w:pPr>
        <w:ind w:left="2662" w:hanging="360"/>
      </w:pPr>
      <w:rPr>
        <w:rFonts w:hint="default" w:ascii="Wingdings" w:hAnsi="Wingdings"/>
      </w:rPr>
    </w:lvl>
    <w:lvl w:ilvl="3" w:tentative="0">
      <w:start w:val="1"/>
      <w:numFmt w:val="bullet"/>
      <w:lvlText w:val=""/>
      <w:lvlJc w:val="left"/>
      <w:pPr>
        <w:ind w:left="3382" w:hanging="360"/>
      </w:pPr>
      <w:rPr>
        <w:rFonts w:hint="default" w:ascii="Symbol" w:hAnsi="Symbol"/>
      </w:rPr>
    </w:lvl>
    <w:lvl w:ilvl="4" w:tentative="0">
      <w:start w:val="1"/>
      <w:numFmt w:val="bullet"/>
      <w:lvlText w:val="o"/>
      <w:lvlJc w:val="left"/>
      <w:pPr>
        <w:ind w:left="4102" w:hanging="360"/>
      </w:pPr>
      <w:rPr>
        <w:rFonts w:hint="default" w:ascii="Courier New" w:hAnsi="Courier New" w:cs="Courier New"/>
      </w:rPr>
    </w:lvl>
    <w:lvl w:ilvl="5" w:tentative="0">
      <w:start w:val="1"/>
      <w:numFmt w:val="bullet"/>
      <w:lvlText w:val=""/>
      <w:lvlJc w:val="left"/>
      <w:pPr>
        <w:ind w:left="4822" w:hanging="360"/>
      </w:pPr>
      <w:rPr>
        <w:rFonts w:hint="default" w:ascii="Wingdings" w:hAnsi="Wingdings"/>
      </w:rPr>
    </w:lvl>
    <w:lvl w:ilvl="6" w:tentative="0">
      <w:start w:val="1"/>
      <w:numFmt w:val="bullet"/>
      <w:lvlText w:val=""/>
      <w:lvlJc w:val="left"/>
      <w:pPr>
        <w:ind w:left="5542" w:hanging="360"/>
      </w:pPr>
      <w:rPr>
        <w:rFonts w:hint="default" w:ascii="Symbol" w:hAnsi="Symbol"/>
      </w:rPr>
    </w:lvl>
    <w:lvl w:ilvl="7" w:tentative="0">
      <w:start w:val="1"/>
      <w:numFmt w:val="bullet"/>
      <w:lvlText w:val="o"/>
      <w:lvlJc w:val="left"/>
      <w:pPr>
        <w:ind w:left="6262" w:hanging="360"/>
      </w:pPr>
      <w:rPr>
        <w:rFonts w:hint="default" w:ascii="Courier New" w:hAnsi="Courier New" w:cs="Courier New"/>
      </w:rPr>
    </w:lvl>
    <w:lvl w:ilvl="8" w:tentative="0">
      <w:start w:val="1"/>
      <w:numFmt w:val="bullet"/>
      <w:lvlText w:val=""/>
      <w:lvlJc w:val="left"/>
      <w:pPr>
        <w:ind w:left="6982" w:hanging="360"/>
      </w:pPr>
      <w:rPr>
        <w:rFonts w:hint="default" w:ascii="Wingdings" w:hAnsi="Wingdings"/>
      </w:rPr>
    </w:lvl>
  </w:abstractNum>
  <w:abstractNum w:abstractNumId="95">
    <w:nsid w:val="72027B9D"/>
    <w:multiLevelType w:val="multilevel"/>
    <w:tmpl w:val="72027B9D"/>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6">
    <w:nsid w:val="72713539"/>
    <w:multiLevelType w:val="multilevel"/>
    <w:tmpl w:val="72713539"/>
    <w:lvl w:ilvl="0" w:tentative="0">
      <w:start w:val="1"/>
      <w:numFmt w:val="bullet"/>
      <w:lvlText w:val=""/>
      <w:lvlJc w:val="left"/>
      <w:pPr>
        <w:ind w:left="1636" w:hanging="360"/>
      </w:pPr>
      <w:rPr>
        <w:rFonts w:hint="default" w:ascii="Wingdings" w:hAnsi="Wingdings"/>
      </w:rPr>
    </w:lvl>
    <w:lvl w:ilvl="1" w:tentative="0">
      <w:start w:val="1"/>
      <w:numFmt w:val="lowerLetter"/>
      <w:lvlText w:val="%2."/>
      <w:lvlJc w:val="left"/>
      <w:pPr>
        <w:ind w:left="2356" w:hanging="360"/>
      </w:pPr>
    </w:lvl>
    <w:lvl w:ilvl="2" w:tentative="0">
      <w:start w:val="1"/>
      <w:numFmt w:val="lowerRoman"/>
      <w:lvlText w:val="%3."/>
      <w:lvlJc w:val="right"/>
      <w:pPr>
        <w:ind w:left="3076" w:hanging="180"/>
      </w:pPr>
    </w:lvl>
    <w:lvl w:ilvl="3" w:tentative="0">
      <w:start w:val="1"/>
      <w:numFmt w:val="decimal"/>
      <w:lvlText w:val="%4."/>
      <w:lvlJc w:val="left"/>
      <w:pPr>
        <w:ind w:left="3796" w:hanging="360"/>
      </w:pPr>
    </w:lvl>
    <w:lvl w:ilvl="4" w:tentative="0">
      <w:start w:val="1"/>
      <w:numFmt w:val="lowerLetter"/>
      <w:lvlText w:val="%5."/>
      <w:lvlJc w:val="left"/>
      <w:pPr>
        <w:ind w:left="4516" w:hanging="360"/>
      </w:pPr>
    </w:lvl>
    <w:lvl w:ilvl="5" w:tentative="0">
      <w:start w:val="1"/>
      <w:numFmt w:val="lowerRoman"/>
      <w:lvlText w:val="%6."/>
      <w:lvlJc w:val="right"/>
      <w:pPr>
        <w:ind w:left="5236" w:hanging="180"/>
      </w:pPr>
    </w:lvl>
    <w:lvl w:ilvl="6" w:tentative="0">
      <w:start w:val="1"/>
      <w:numFmt w:val="decimal"/>
      <w:lvlText w:val="%7."/>
      <w:lvlJc w:val="left"/>
      <w:pPr>
        <w:ind w:left="5956" w:hanging="360"/>
      </w:pPr>
    </w:lvl>
    <w:lvl w:ilvl="7" w:tentative="0">
      <w:start w:val="1"/>
      <w:numFmt w:val="lowerLetter"/>
      <w:lvlText w:val="%8."/>
      <w:lvlJc w:val="left"/>
      <w:pPr>
        <w:ind w:left="6676" w:hanging="360"/>
      </w:pPr>
    </w:lvl>
    <w:lvl w:ilvl="8" w:tentative="0">
      <w:start w:val="1"/>
      <w:numFmt w:val="lowerRoman"/>
      <w:lvlText w:val="%9."/>
      <w:lvlJc w:val="right"/>
      <w:pPr>
        <w:ind w:left="7396" w:hanging="180"/>
      </w:pPr>
    </w:lvl>
  </w:abstractNum>
  <w:abstractNum w:abstractNumId="97">
    <w:nsid w:val="74A24602"/>
    <w:multiLevelType w:val="multilevel"/>
    <w:tmpl w:val="74A24602"/>
    <w:lvl w:ilvl="0" w:tentative="0">
      <w:start w:val="1"/>
      <w:numFmt w:val="bullet"/>
      <w:lvlText w:val=""/>
      <w:lvlJc w:val="left"/>
      <w:pPr>
        <w:ind w:left="360" w:hanging="360"/>
      </w:pPr>
      <w:rPr>
        <w:rFonts w:hint="default" w:ascii="Wingdings" w:hAnsi="Wingdings"/>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440" w:hanging="1440"/>
      </w:pPr>
      <w:rPr>
        <w:rFonts w:hint="default"/>
      </w:rPr>
    </w:lvl>
    <w:lvl w:ilvl="6" w:tentative="0">
      <w:start w:val="1"/>
      <w:numFmt w:val="decimal"/>
      <w:isLgl/>
      <w:lvlText w:val="%1.%2.%3.%4.%5.%6.%7."/>
      <w:lvlJc w:val="left"/>
      <w:pPr>
        <w:ind w:left="1440" w:hanging="1440"/>
      </w:pPr>
      <w:rPr>
        <w:rFonts w:hint="default"/>
      </w:rPr>
    </w:lvl>
    <w:lvl w:ilvl="7" w:tentative="0">
      <w:start w:val="1"/>
      <w:numFmt w:val="decimal"/>
      <w:isLgl/>
      <w:lvlText w:val="%1.%2.%3.%4.%5.%6.%7.%8."/>
      <w:lvlJc w:val="left"/>
      <w:pPr>
        <w:ind w:left="1800" w:hanging="1800"/>
      </w:pPr>
      <w:rPr>
        <w:rFonts w:hint="default"/>
      </w:rPr>
    </w:lvl>
    <w:lvl w:ilvl="8" w:tentative="0">
      <w:start w:val="1"/>
      <w:numFmt w:val="decimal"/>
      <w:isLgl/>
      <w:lvlText w:val="%1.%2.%3.%4.%5.%6.%7.%8.%9."/>
      <w:lvlJc w:val="left"/>
      <w:pPr>
        <w:ind w:left="1800" w:hanging="1800"/>
      </w:pPr>
      <w:rPr>
        <w:rFonts w:hint="default"/>
      </w:rPr>
    </w:lvl>
  </w:abstractNum>
  <w:abstractNum w:abstractNumId="98">
    <w:nsid w:val="74D26527"/>
    <w:multiLevelType w:val="multilevel"/>
    <w:tmpl w:val="74D26527"/>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9">
    <w:nsid w:val="75742ABE"/>
    <w:multiLevelType w:val="multilevel"/>
    <w:tmpl w:val="75742ABE"/>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00">
    <w:nsid w:val="75BC014F"/>
    <w:multiLevelType w:val="multilevel"/>
    <w:tmpl w:val="75BC014F"/>
    <w:lvl w:ilvl="0" w:tentative="0">
      <w:start w:val="1"/>
      <w:numFmt w:val="lowerLetter"/>
      <w:lvlText w:val="%1."/>
      <w:lvlJc w:val="left"/>
      <w:pPr>
        <w:ind w:left="643" w:hanging="360"/>
      </w:pPr>
      <w:rPr>
        <w:rFonts w:hint="default"/>
        <w:b w:val="0"/>
      </w:rPr>
    </w:lvl>
    <w:lvl w:ilvl="1" w:tentative="0">
      <w:start w:val="1"/>
      <w:numFmt w:val="lowerLetter"/>
      <w:lvlText w:val="%2."/>
      <w:lvlJc w:val="left"/>
      <w:pPr>
        <w:ind w:left="1363" w:hanging="360"/>
      </w:pPr>
    </w:lvl>
    <w:lvl w:ilvl="2" w:tentative="0">
      <w:start w:val="1"/>
      <w:numFmt w:val="lowerRoman"/>
      <w:lvlText w:val="%3."/>
      <w:lvlJc w:val="right"/>
      <w:pPr>
        <w:ind w:left="2083" w:hanging="180"/>
      </w:pPr>
    </w:lvl>
    <w:lvl w:ilvl="3" w:tentative="0">
      <w:start w:val="1"/>
      <w:numFmt w:val="decimal"/>
      <w:lvlText w:val="%4."/>
      <w:lvlJc w:val="left"/>
      <w:pPr>
        <w:ind w:left="2803" w:hanging="360"/>
      </w:pPr>
    </w:lvl>
    <w:lvl w:ilvl="4" w:tentative="0">
      <w:start w:val="1"/>
      <w:numFmt w:val="lowerLetter"/>
      <w:lvlText w:val="%5."/>
      <w:lvlJc w:val="left"/>
      <w:pPr>
        <w:ind w:left="3523" w:hanging="360"/>
      </w:pPr>
    </w:lvl>
    <w:lvl w:ilvl="5" w:tentative="0">
      <w:start w:val="1"/>
      <w:numFmt w:val="lowerRoman"/>
      <w:lvlText w:val="%6."/>
      <w:lvlJc w:val="right"/>
      <w:pPr>
        <w:ind w:left="4243" w:hanging="180"/>
      </w:pPr>
    </w:lvl>
    <w:lvl w:ilvl="6" w:tentative="0">
      <w:start w:val="1"/>
      <w:numFmt w:val="decimal"/>
      <w:lvlText w:val="%7."/>
      <w:lvlJc w:val="left"/>
      <w:pPr>
        <w:ind w:left="4963" w:hanging="360"/>
      </w:pPr>
    </w:lvl>
    <w:lvl w:ilvl="7" w:tentative="0">
      <w:start w:val="1"/>
      <w:numFmt w:val="lowerLetter"/>
      <w:lvlText w:val="%8."/>
      <w:lvlJc w:val="left"/>
      <w:pPr>
        <w:ind w:left="5683" w:hanging="360"/>
      </w:pPr>
    </w:lvl>
    <w:lvl w:ilvl="8" w:tentative="0">
      <w:start w:val="1"/>
      <w:numFmt w:val="lowerRoman"/>
      <w:lvlText w:val="%9."/>
      <w:lvlJc w:val="right"/>
      <w:pPr>
        <w:ind w:left="6403" w:hanging="180"/>
      </w:pPr>
    </w:lvl>
  </w:abstractNum>
  <w:abstractNum w:abstractNumId="101">
    <w:nsid w:val="76B55F9A"/>
    <w:multiLevelType w:val="multilevel"/>
    <w:tmpl w:val="76B55F9A"/>
    <w:lvl w:ilvl="0" w:tentative="0">
      <w:start w:val="8"/>
      <w:numFmt w:val="bullet"/>
      <w:lvlText w:val="-"/>
      <w:lvlJc w:val="left"/>
      <w:pPr>
        <w:ind w:left="927" w:hanging="360"/>
      </w:pPr>
      <w:rPr>
        <w:rFonts w:hint="default" w:ascii="Tahoma" w:hAnsi="Tahoma" w:cs="Tahoma" w:eastAsiaTheme="minorHAnsi"/>
      </w:rPr>
    </w:lvl>
    <w:lvl w:ilvl="1" w:tentative="0">
      <w:start w:val="1"/>
      <w:numFmt w:val="bullet"/>
      <w:lvlText w:val="o"/>
      <w:lvlJc w:val="left"/>
      <w:pPr>
        <w:ind w:left="2356" w:hanging="360"/>
      </w:pPr>
      <w:rPr>
        <w:rFonts w:hint="default" w:ascii="Courier New" w:hAnsi="Courier New" w:cs="Courier New"/>
      </w:rPr>
    </w:lvl>
    <w:lvl w:ilvl="2" w:tentative="0">
      <w:start w:val="1"/>
      <w:numFmt w:val="bullet"/>
      <w:lvlText w:val=""/>
      <w:lvlJc w:val="left"/>
      <w:pPr>
        <w:ind w:left="3076" w:hanging="360"/>
      </w:pPr>
      <w:rPr>
        <w:rFonts w:hint="default" w:ascii="Wingdings" w:hAnsi="Wingdings"/>
      </w:rPr>
    </w:lvl>
    <w:lvl w:ilvl="3" w:tentative="0">
      <w:start w:val="1"/>
      <w:numFmt w:val="bullet"/>
      <w:lvlText w:val=""/>
      <w:lvlJc w:val="left"/>
      <w:pPr>
        <w:ind w:left="3796" w:hanging="360"/>
      </w:pPr>
      <w:rPr>
        <w:rFonts w:hint="default" w:ascii="Symbol" w:hAnsi="Symbol"/>
      </w:rPr>
    </w:lvl>
    <w:lvl w:ilvl="4" w:tentative="0">
      <w:start w:val="1"/>
      <w:numFmt w:val="bullet"/>
      <w:lvlText w:val="o"/>
      <w:lvlJc w:val="left"/>
      <w:pPr>
        <w:ind w:left="4516" w:hanging="360"/>
      </w:pPr>
      <w:rPr>
        <w:rFonts w:hint="default" w:ascii="Courier New" w:hAnsi="Courier New" w:cs="Courier New"/>
      </w:rPr>
    </w:lvl>
    <w:lvl w:ilvl="5" w:tentative="0">
      <w:start w:val="1"/>
      <w:numFmt w:val="bullet"/>
      <w:lvlText w:val=""/>
      <w:lvlJc w:val="left"/>
      <w:pPr>
        <w:ind w:left="5236" w:hanging="360"/>
      </w:pPr>
      <w:rPr>
        <w:rFonts w:hint="default" w:ascii="Wingdings" w:hAnsi="Wingdings"/>
      </w:rPr>
    </w:lvl>
    <w:lvl w:ilvl="6" w:tentative="0">
      <w:start w:val="1"/>
      <w:numFmt w:val="bullet"/>
      <w:lvlText w:val=""/>
      <w:lvlJc w:val="left"/>
      <w:pPr>
        <w:ind w:left="5956" w:hanging="360"/>
      </w:pPr>
      <w:rPr>
        <w:rFonts w:hint="default" w:ascii="Symbol" w:hAnsi="Symbol"/>
      </w:rPr>
    </w:lvl>
    <w:lvl w:ilvl="7" w:tentative="0">
      <w:start w:val="1"/>
      <w:numFmt w:val="bullet"/>
      <w:lvlText w:val="o"/>
      <w:lvlJc w:val="left"/>
      <w:pPr>
        <w:ind w:left="6676" w:hanging="360"/>
      </w:pPr>
      <w:rPr>
        <w:rFonts w:hint="default" w:ascii="Courier New" w:hAnsi="Courier New" w:cs="Courier New"/>
      </w:rPr>
    </w:lvl>
    <w:lvl w:ilvl="8" w:tentative="0">
      <w:start w:val="1"/>
      <w:numFmt w:val="bullet"/>
      <w:lvlText w:val=""/>
      <w:lvlJc w:val="left"/>
      <w:pPr>
        <w:ind w:left="7396" w:hanging="360"/>
      </w:pPr>
      <w:rPr>
        <w:rFonts w:hint="default" w:ascii="Wingdings" w:hAnsi="Wingdings"/>
      </w:rPr>
    </w:lvl>
  </w:abstractNum>
  <w:abstractNum w:abstractNumId="102">
    <w:nsid w:val="77276C54"/>
    <w:multiLevelType w:val="multilevel"/>
    <w:tmpl w:val="77276C54"/>
    <w:lvl w:ilvl="0" w:tentative="0">
      <w:start w:val="1"/>
      <w:numFmt w:val="decimal"/>
      <w:lvlText w:val="%1."/>
      <w:lvlJc w:val="left"/>
      <w:pPr>
        <w:ind w:left="792" w:hanging="360"/>
      </w:pPr>
      <w:rPr>
        <w:rFonts w:hint="default"/>
        <w:i w:val="0"/>
      </w:rPr>
    </w:lvl>
    <w:lvl w:ilvl="1" w:tentative="0">
      <w:start w:val="1"/>
      <w:numFmt w:val="lowerLetter"/>
      <w:lvlText w:val="%2."/>
      <w:lvlJc w:val="left"/>
      <w:pPr>
        <w:ind w:left="1512" w:hanging="360"/>
      </w:pPr>
    </w:lvl>
    <w:lvl w:ilvl="2" w:tentative="0">
      <w:start w:val="1"/>
      <w:numFmt w:val="lowerRoman"/>
      <w:lvlText w:val="%3."/>
      <w:lvlJc w:val="right"/>
      <w:pPr>
        <w:ind w:left="2232" w:hanging="180"/>
      </w:pPr>
    </w:lvl>
    <w:lvl w:ilvl="3" w:tentative="0">
      <w:start w:val="1"/>
      <w:numFmt w:val="decimal"/>
      <w:lvlText w:val="%4."/>
      <w:lvlJc w:val="left"/>
      <w:pPr>
        <w:ind w:left="786" w:hanging="360"/>
      </w:pPr>
      <w:rPr>
        <w:b/>
      </w:rPr>
    </w:lvl>
    <w:lvl w:ilvl="4" w:tentative="0">
      <w:start w:val="1"/>
      <w:numFmt w:val="lowerLetter"/>
      <w:lvlText w:val="%5."/>
      <w:lvlJc w:val="left"/>
      <w:pPr>
        <w:ind w:left="3672" w:hanging="360"/>
      </w:pPr>
    </w:lvl>
    <w:lvl w:ilvl="5" w:tentative="0">
      <w:start w:val="1"/>
      <w:numFmt w:val="lowerRoman"/>
      <w:lvlText w:val="%6."/>
      <w:lvlJc w:val="right"/>
      <w:pPr>
        <w:ind w:left="4392" w:hanging="180"/>
      </w:pPr>
    </w:lvl>
    <w:lvl w:ilvl="6" w:tentative="0">
      <w:start w:val="1"/>
      <w:numFmt w:val="decimal"/>
      <w:lvlText w:val="%7."/>
      <w:lvlJc w:val="left"/>
      <w:pPr>
        <w:ind w:left="5112" w:hanging="360"/>
      </w:pPr>
    </w:lvl>
    <w:lvl w:ilvl="7" w:tentative="0">
      <w:start w:val="1"/>
      <w:numFmt w:val="lowerLetter"/>
      <w:lvlText w:val="%8."/>
      <w:lvlJc w:val="left"/>
      <w:pPr>
        <w:ind w:left="5832" w:hanging="360"/>
      </w:pPr>
    </w:lvl>
    <w:lvl w:ilvl="8" w:tentative="0">
      <w:start w:val="1"/>
      <w:numFmt w:val="lowerRoman"/>
      <w:lvlText w:val="%9."/>
      <w:lvlJc w:val="right"/>
      <w:pPr>
        <w:ind w:left="6552" w:hanging="180"/>
      </w:pPr>
    </w:lvl>
  </w:abstractNum>
  <w:abstractNum w:abstractNumId="103">
    <w:nsid w:val="776658AE"/>
    <w:multiLevelType w:val="multilevel"/>
    <w:tmpl w:val="776658AE"/>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4">
    <w:nsid w:val="77E60C78"/>
    <w:multiLevelType w:val="multilevel"/>
    <w:tmpl w:val="77E60C78"/>
    <w:lvl w:ilvl="0" w:tentative="0">
      <w:start w:val="4"/>
      <w:numFmt w:val="lowerLetter"/>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05">
    <w:nsid w:val="77FB34C4"/>
    <w:multiLevelType w:val="multilevel"/>
    <w:tmpl w:val="77FB34C4"/>
    <w:lvl w:ilvl="0" w:tentative="0">
      <w:start w:val="1"/>
      <w:numFmt w:val="bullet"/>
      <w:lvlText w:val=""/>
      <w:lvlJc w:val="left"/>
      <w:pPr>
        <w:ind w:left="927" w:hanging="360"/>
      </w:pPr>
      <w:rPr>
        <w:rFonts w:hint="default" w:ascii="Wingdings" w:hAnsi="Wingdings"/>
      </w:rPr>
    </w:lvl>
    <w:lvl w:ilvl="1" w:tentative="0">
      <w:start w:val="1"/>
      <w:numFmt w:val="bullet"/>
      <w:lvlText w:val="o"/>
      <w:lvlJc w:val="left"/>
      <w:pPr>
        <w:ind w:left="1647" w:hanging="360"/>
      </w:pPr>
      <w:rPr>
        <w:rFonts w:hint="default" w:ascii="Courier New" w:hAnsi="Courier New" w:cs="Courier New"/>
      </w:rPr>
    </w:lvl>
    <w:lvl w:ilvl="2" w:tentative="0">
      <w:start w:val="1"/>
      <w:numFmt w:val="bullet"/>
      <w:lvlText w:val=""/>
      <w:lvlJc w:val="left"/>
      <w:pPr>
        <w:ind w:left="2367" w:hanging="360"/>
      </w:pPr>
      <w:rPr>
        <w:rFonts w:hint="default" w:ascii="Wingdings" w:hAnsi="Wingdings"/>
      </w:rPr>
    </w:lvl>
    <w:lvl w:ilvl="3" w:tentative="0">
      <w:start w:val="1"/>
      <w:numFmt w:val="bullet"/>
      <w:lvlText w:val=""/>
      <w:lvlJc w:val="left"/>
      <w:pPr>
        <w:ind w:left="3087" w:hanging="360"/>
      </w:pPr>
      <w:rPr>
        <w:rFonts w:hint="default" w:ascii="Symbol" w:hAnsi="Symbol"/>
      </w:rPr>
    </w:lvl>
    <w:lvl w:ilvl="4" w:tentative="0">
      <w:start w:val="1"/>
      <w:numFmt w:val="bullet"/>
      <w:lvlText w:val="o"/>
      <w:lvlJc w:val="left"/>
      <w:pPr>
        <w:ind w:left="3807" w:hanging="360"/>
      </w:pPr>
      <w:rPr>
        <w:rFonts w:hint="default" w:ascii="Courier New" w:hAnsi="Courier New" w:cs="Courier New"/>
      </w:rPr>
    </w:lvl>
    <w:lvl w:ilvl="5" w:tentative="0">
      <w:start w:val="1"/>
      <w:numFmt w:val="bullet"/>
      <w:lvlText w:val=""/>
      <w:lvlJc w:val="left"/>
      <w:pPr>
        <w:ind w:left="4527" w:hanging="360"/>
      </w:pPr>
      <w:rPr>
        <w:rFonts w:hint="default" w:ascii="Wingdings" w:hAnsi="Wingdings"/>
      </w:rPr>
    </w:lvl>
    <w:lvl w:ilvl="6" w:tentative="0">
      <w:start w:val="1"/>
      <w:numFmt w:val="bullet"/>
      <w:lvlText w:val=""/>
      <w:lvlJc w:val="left"/>
      <w:pPr>
        <w:ind w:left="5247" w:hanging="360"/>
      </w:pPr>
      <w:rPr>
        <w:rFonts w:hint="default" w:ascii="Symbol" w:hAnsi="Symbol"/>
      </w:rPr>
    </w:lvl>
    <w:lvl w:ilvl="7" w:tentative="0">
      <w:start w:val="1"/>
      <w:numFmt w:val="bullet"/>
      <w:lvlText w:val="o"/>
      <w:lvlJc w:val="left"/>
      <w:pPr>
        <w:ind w:left="5967" w:hanging="360"/>
      </w:pPr>
      <w:rPr>
        <w:rFonts w:hint="default" w:ascii="Courier New" w:hAnsi="Courier New" w:cs="Courier New"/>
      </w:rPr>
    </w:lvl>
    <w:lvl w:ilvl="8" w:tentative="0">
      <w:start w:val="1"/>
      <w:numFmt w:val="bullet"/>
      <w:lvlText w:val=""/>
      <w:lvlJc w:val="left"/>
      <w:pPr>
        <w:ind w:left="6687" w:hanging="360"/>
      </w:pPr>
      <w:rPr>
        <w:rFonts w:hint="default" w:ascii="Wingdings" w:hAnsi="Wingdings"/>
      </w:rPr>
    </w:lvl>
  </w:abstractNum>
  <w:abstractNum w:abstractNumId="106">
    <w:nsid w:val="78BA41DD"/>
    <w:multiLevelType w:val="multilevel"/>
    <w:tmpl w:val="78BA41DD"/>
    <w:lvl w:ilvl="0" w:tentative="0">
      <w:start w:val="1"/>
      <w:numFmt w:val="decimal"/>
      <w:lvlText w:val="%1."/>
      <w:lvlJc w:val="left"/>
      <w:pPr>
        <w:ind w:left="927" w:hanging="360"/>
      </w:pPr>
    </w:lvl>
    <w:lvl w:ilvl="1" w:tentative="0">
      <w:start w:val="1"/>
      <w:numFmt w:val="lowerLetter"/>
      <w:lvlText w:val="%2."/>
      <w:lvlJc w:val="left"/>
      <w:pPr>
        <w:ind w:left="1647" w:hanging="360"/>
      </w:pPr>
    </w:lvl>
    <w:lvl w:ilvl="2" w:tentative="0">
      <w:start w:val="1"/>
      <w:numFmt w:val="lowerRoman"/>
      <w:lvlText w:val="%3."/>
      <w:lvlJc w:val="right"/>
      <w:pPr>
        <w:ind w:left="2367" w:hanging="180"/>
      </w:pPr>
    </w:lvl>
    <w:lvl w:ilvl="3" w:tentative="0">
      <w:start w:val="1"/>
      <w:numFmt w:val="decimal"/>
      <w:lvlText w:val="%4."/>
      <w:lvlJc w:val="left"/>
      <w:pPr>
        <w:ind w:left="3087" w:hanging="360"/>
      </w:pPr>
    </w:lvl>
    <w:lvl w:ilvl="4" w:tentative="0">
      <w:start w:val="1"/>
      <w:numFmt w:val="lowerLetter"/>
      <w:lvlText w:val="%5."/>
      <w:lvlJc w:val="left"/>
      <w:pPr>
        <w:ind w:left="3807" w:hanging="360"/>
      </w:pPr>
    </w:lvl>
    <w:lvl w:ilvl="5" w:tentative="0">
      <w:start w:val="1"/>
      <w:numFmt w:val="lowerRoman"/>
      <w:lvlText w:val="%6."/>
      <w:lvlJc w:val="right"/>
      <w:pPr>
        <w:ind w:left="4527" w:hanging="180"/>
      </w:pPr>
    </w:lvl>
    <w:lvl w:ilvl="6" w:tentative="0">
      <w:start w:val="1"/>
      <w:numFmt w:val="decimal"/>
      <w:lvlText w:val="%7."/>
      <w:lvlJc w:val="left"/>
      <w:pPr>
        <w:ind w:left="5247" w:hanging="360"/>
      </w:pPr>
    </w:lvl>
    <w:lvl w:ilvl="7" w:tentative="0">
      <w:start w:val="1"/>
      <w:numFmt w:val="lowerLetter"/>
      <w:lvlText w:val="%8."/>
      <w:lvlJc w:val="left"/>
      <w:pPr>
        <w:ind w:left="5967" w:hanging="360"/>
      </w:pPr>
    </w:lvl>
    <w:lvl w:ilvl="8" w:tentative="0">
      <w:start w:val="1"/>
      <w:numFmt w:val="lowerRoman"/>
      <w:lvlText w:val="%9."/>
      <w:lvlJc w:val="right"/>
      <w:pPr>
        <w:ind w:left="6687" w:hanging="180"/>
      </w:pPr>
    </w:lvl>
  </w:abstractNum>
  <w:abstractNum w:abstractNumId="107">
    <w:nsid w:val="7B9B35AA"/>
    <w:multiLevelType w:val="multilevel"/>
    <w:tmpl w:val="7B9B35AA"/>
    <w:lvl w:ilvl="0" w:tentative="0">
      <w:start w:val="1"/>
      <w:numFmt w:val="bullet"/>
      <w:lvlText w:val=""/>
      <w:lvlJc w:val="left"/>
      <w:pPr>
        <w:ind w:left="1210" w:hanging="360"/>
      </w:pPr>
      <w:rPr>
        <w:rFonts w:hint="default" w:ascii="Wingdings" w:hAnsi="Wingdings"/>
      </w:rPr>
    </w:lvl>
    <w:lvl w:ilvl="1" w:tentative="0">
      <w:start w:val="1"/>
      <w:numFmt w:val="bullet"/>
      <w:lvlText w:val="o"/>
      <w:lvlJc w:val="left"/>
      <w:pPr>
        <w:ind w:left="1930" w:hanging="360"/>
      </w:pPr>
      <w:rPr>
        <w:rFonts w:hint="default" w:ascii="Courier New" w:hAnsi="Courier New" w:cs="Courier New"/>
      </w:rPr>
    </w:lvl>
    <w:lvl w:ilvl="2" w:tentative="0">
      <w:start w:val="1"/>
      <w:numFmt w:val="bullet"/>
      <w:lvlText w:val=""/>
      <w:lvlJc w:val="left"/>
      <w:pPr>
        <w:ind w:left="2650" w:hanging="360"/>
      </w:pPr>
      <w:rPr>
        <w:rFonts w:hint="default" w:ascii="Wingdings" w:hAnsi="Wingdings"/>
      </w:rPr>
    </w:lvl>
    <w:lvl w:ilvl="3" w:tentative="0">
      <w:start w:val="1"/>
      <w:numFmt w:val="bullet"/>
      <w:lvlText w:val=""/>
      <w:lvlJc w:val="left"/>
      <w:pPr>
        <w:ind w:left="3370" w:hanging="360"/>
      </w:pPr>
      <w:rPr>
        <w:rFonts w:hint="default" w:ascii="Symbol" w:hAnsi="Symbol"/>
      </w:rPr>
    </w:lvl>
    <w:lvl w:ilvl="4" w:tentative="0">
      <w:start w:val="1"/>
      <w:numFmt w:val="bullet"/>
      <w:lvlText w:val="o"/>
      <w:lvlJc w:val="left"/>
      <w:pPr>
        <w:ind w:left="4090" w:hanging="360"/>
      </w:pPr>
      <w:rPr>
        <w:rFonts w:hint="default" w:ascii="Courier New" w:hAnsi="Courier New" w:cs="Courier New"/>
      </w:rPr>
    </w:lvl>
    <w:lvl w:ilvl="5" w:tentative="0">
      <w:start w:val="1"/>
      <w:numFmt w:val="bullet"/>
      <w:lvlText w:val=""/>
      <w:lvlJc w:val="left"/>
      <w:pPr>
        <w:ind w:left="4810" w:hanging="360"/>
      </w:pPr>
      <w:rPr>
        <w:rFonts w:hint="default" w:ascii="Wingdings" w:hAnsi="Wingdings"/>
      </w:rPr>
    </w:lvl>
    <w:lvl w:ilvl="6" w:tentative="0">
      <w:start w:val="1"/>
      <w:numFmt w:val="bullet"/>
      <w:lvlText w:val=""/>
      <w:lvlJc w:val="left"/>
      <w:pPr>
        <w:ind w:left="5530" w:hanging="360"/>
      </w:pPr>
      <w:rPr>
        <w:rFonts w:hint="default" w:ascii="Symbol" w:hAnsi="Symbol"/>
      </w:rPr>
    </w:lvl>
    <w:lvl w:ilvl="7" w:tentative="0">
      <w:start w:val="1"/>
      <w:numFmt w:val="bullet"/>
      <w:lvlText w:val="o"/>
      <w:lvlJc w:val="left"/>
      <w:pPr>
        <w:ind w:left="6250" w:hanging="360"/>
      </w:pPr>
      <w:rPr>
        <w:rFonts w:hint="default" w:ascii="Courier New" w:hAnsi="Courier New" w:cs="Courier New"/>
      </w:rPr>
    </w:lvl>
    <w:lvl w:ilvl="8" w:tentative="0">
      <w:start w:val="1"/>
      <w:numFmt w:val="bullet"/>
      <w:lvlText w:val=""/>
      <w:lvlJc w:val="left"/>
      <w:pPr>
        <w:ind w:left="6970" w:hanging="360"/>
      </w:pPr>
      <w:rPr>
        <w:rFonts w:hint="default" w:ascii="Wingdings" w:hAnsi="Wingdings"/>
      </w:rPr>
    </w:lvl>
  </w:abstractNum>
  <w:abstractNum w:abstractNumId="108">
    <w:nsid w:val="7BEA0B37"/>
    <w:multiLevelType w:val="multilevel"/>
    <w:tmpl w:val="7BEA0B37"/>
    <w:lvl w:ilvl="0" w:tentative="0">
      <w:start w:val="1"/>
      <w:numFmt w:val="bullet"/>
      <w:lvlText w:val=""/>
      <w:lvlJc w:val="left"/>
      <w:pPr>
        <w:ind w:left="720" w:hanging="360"/>
      </w:pPr>
      <w:rPr>
        <w:rFonts w:hint="default" w:ascii="Wingdings" w:hAnsi="Wingdings"/>
      </w:rPr>
    </w:lvl>
    <w:lvl w:ilvl="1" w:tentative="0">
      <w:start w:val="1"/>
      <w:numFmt w:val="bullet"/>
      <w:lvlText w:val=""/>
      <w:lvlJc w:val="left"/>
      <w:pPr>
        <w:ind w:left="360" w:hanging="360"/>
      </w:pPr>
      <w:rPr>
        <w:rFonts w:hint="default" w:ascii="Wingdings" w:hAnsi="Wingdings"/>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9">
    <w:nsid w:val="7C5D43A6"/>
    <w:multiLevelType w:val="multilevel"/>
    <w:tmpl w:val="7C5D43A6"/>
    <w:lvl w:ilvl="0" w:tentative="0">
      <w:start w:val="1"/>
      <w:numFmt w:val="bullet"/>
      <w:lvlText w:val=""/>
      <w:lvlJc w:val="left"/>
      <w:pPr>
        <w:ind w:left="360" w:hanging="360"/>
      </w:pPr>
      <w:rPr>
        <w:rFonts w:hint="default" w:ascii="Wingdings" w:hAnsi="Wingdings"/>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10">
    <w:nsid w:val="7D7C4C17"/>
    <w:multiLevelType w:val="multilevel"/>
    <w:tmpl w:val="7D7C4C17"/>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1">
    <w:nsid w:val="7FD971DD"/>
    <w:multiLevelType w:val="multilevel"/>
    <w:tmpl w:val="7FD971DD"/>
    <w:lvl w:ilvl="0" w:tentative="0">
      <w:start w:val="1"/>
      <w:numFmt w:val="lowerLetter"/>
      <w:lvlText w:val="%1."/>
      <w:lvlJc w:val="left"/>
      <w:pPr>
        <w:ind w:left="720" w:hanging="360"/>
      </w:pPr>
      <w:rPr>
        <w:rFonts w:hint="default"/>
        <w:b/>
        <w:i w:val="0"/>
      </w:rPr>
    </w:lvl>
    <w:lvl w:ilvl="1" w:tentative="0">
      <w:start w:val="1"/>
      <w:numFmt w:val="lowerLetter"/>
      <w:lvlText w:val="%2."/>
      <w:lvlJc w:val="left"/>
      <w:pPr>
        <w:ind w:left="360" w:hanging="360"/>
      </w:pPr>
      <w:rPr>
        <w:b/>
      </w:rPr>
    </w:lvl>
    <w:lvl w:ilvl="2" w:tentative="0">
      <w:start w:val="1"/>
      <w:numFmt w:val="decimal"/>
      <w:lvlText w:val="%3."/>
      <w:lvlJc w:val="left"/>
      <w:pPr>
        <w:ind w:left="1211" w:hanging="360"/>
      </w:pPr>
      <w:rPr>
        <w:rFonts w:hint="default"/>
        <w:sz w:val="22"/>
        <w:szCs w:val="22"/>
      </w:r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74"/>
  </w:num>
  <w:num w:numId="2">
    <w:abstractNumId w:val="102"/>
  </w:num>
  <w:num w:numId="3">
    <w:abstractNumId w:val="45"/>
  </w:num>
  <w:num w:numId="4">
    <w:abstractNumId w:val="88"/>
  </w:num>
  <w:num w:numId="5">
    <w:abstractNumId w:val="34"/>
  </w:num>
  <w:num w:numId="6">
    <w:abstractNumId w:val="66"/>
  </w:num>
  <w:num w:numId="7">
    <w:abstractNumId w:val="57"/>
  </w:num>
  <w:num w:numId="8">
    <w:abstractNumId w:val="56"/>
  </w:num>
  <w:num w:numId="9">
    <w:abstractNumId w:val="93"/>
  </w:num>
  <w:num w:numId="10">
    <w:abstractNumId w:val="63"/>
  </w:num>
  <w:num w:numId="11">
    <w:abstractNumId w:val="67"/>
  </w:num>
  <w:num w:numId="12">
    <w:abstractNumId w:val="49"/>
  </w:num>
  <w:num w:numId="13">
    <w:abstractNumId w:val="91"/>
  </w:num>
  <w:num w:numId="14">
    <w:abstractNumId w:val="64"/>
  </w:num>
  <w:num w:numId="15">
    <w:abstractNumId w:val="80"/>
  </w:num>
  <w:num w:numId="16">
    <w:abstractNumId w:val="11"/>
  </w:num>
  <w:num w:numId="17">
    <w:abstractNumId w:val="79"/>
  </w:num>
  <w:num w:numId="18">
    <w:abstractNumId w:val="108"/>
  </w:num>
  <w:num w:numId="19">
    <w:abstractNumId w:val="12"/>
  </w:num>
  <w:num w:numId="20">
    <w:abstractNumId w:val="86"/>
  </w:num>
  <w:num w:numId="21">
    <w:abstractNumId w:val="83"/>
  </w:num>
  <w:num w:numId="22">
    <w:abstractNumId w:val="73"/>
  </w:num>
  <w:num w:numId="23">
    <w:abstractNumId w:val="36"/>
  </w:num>
  <w:num w:numId="24">
    <w:abstractNumId w:val="8"/>
  </w:num>
  <w:num w:numId="25">
    <w:abstractNumId w:val="109"/>
  </w:num>
  <w:num w:numId="26">
    <w:abstractNumId w:val="75"/>
  </w:num>
  <w:num w:numId="27">
    <w:abstractNumId w:val="29"/>
  </w:num>
  <w:num w:numId="28">
    <w:abstractNumId w:val="54"/>
  </w:num>
  <w:num w:numId="29">
    <w:abstractNumId w:val="19"/>
  </w:num>
  <w:num w:numId="30">
    <w:abstractNumId w:val="59"/>
  </w:num>
  <w:num w:numId="31">
    <w:abstractNumId w:val="90"/>
  </w:num>
  <w:num w:numId="32">
    <w:abstractNumId w:val="81"/>
  </w:num>
  <w:num w:numId="33">
    <w:abstractNumId w:val="87"/>
  </w:num>
  <w:num w:numId="34">
    <w:abstractNumId w:val="103"/>
  </w:num>
  <w:num w:numId="35">
    <w:abstractNumId w:val="47"/>
  </w:num>
  <w:num w:numId="36">
    <w:abstractNumId w:val="42"/>
  </w:num>
  <w:num w:numId="37">
    <w:abstractNumId w:val="71"/>
  </w:num>
  <w:num w:numId="38">
    <w:abstractNumId w:val="104"/>
  </w:num>
  <w:num w:numId="39">
    <w:abstractNumId w:val="2"/>
  </w:num>
  <w:num w:numId="40">
    <w:abstractNumId w:val="96"/>
  </w:num>
  <w:num w:numId="41">
    <w:abstractNumId w:val="18"/>
  </w:num>
  <w:num w:numId="42">
    <w:abstractNumId w:val="110"/>
  </w:num>
  <w:num w:numId="43">
    <w:abstractNumId w:val="30"/>
  </w:num>
  <w:num w:numId="44">
    <w:abstractNumId w:val="105"/>
  </w:num>
  <w:num w:numId="45">
    <w:abstractNumId w:val="25"/>
  </w:num>
  <w:num w:numId="46">
    <w:abstractNumId w:val="69"/>
  </w:num>
  <w:num w:numId="47">
    <w:abstractNumId w:val="99"/>
  </w:num>
  <w:num w:numId="48">
    <w:abstractNumId w:val="68"/>
  </w:num>
  <w:num w:numId="49">
    <w:abstractNumId w:val="6"/>
  </w:num>
  <w:num w:numId="50">
    <w:abstractNumId w:val="21"/>
  </w:num>
  <w:num w:numId="51">
    <w:abstractNumId w:val="50"/>
  </w:num>
  <w:num w:numId="52">
    <w:abstractNumId w:val="77"/>
  </w:num>
  <w:num w:numId="53">
    <w:abstractNumId w:val="101"/>
  </w:num>
  <w:num w:numId="54">
    <w:abstractNumId w:val="95"/>
  </w:num>
  <w:num w:numId="55">
    <w:abstractNumId w:val="107"/>
  </w:num>
  <w:num w:numId="56">
    <w:abstractNumId w:val="33"/>
  </w:num>
  <w:num w:numId="57">
    <w:abstractNumId w:val="62"/>
  </w:num>
  <w:num w:numId="58">
    <w:abstractNumId w:val="46"/>
  </w:num>
  <w:num w:numId="59">
    <w:abstractNumId w:val="35"/>
  </w:num>
  <w:num w:numId="60">
    <w:abstractNumId w:val="98"/>
  </w:num>
  <w:num w:numId="61">
    <w:abstractNumId w:val="85"/>
  </w:num>
  <w:num w:numId="62">
    <w:abstractNumId w:val="84"/>
  </w:num>
  <w:num w:numId="63">
    <w:abstractNumId w:val="39"/>
  </w:num>
  <w:num w:numId="64">
    <w:abstractNumId w:val="100"/>
  </w:num>
  <w:num w:numId="65">
    <w:abstractNumId w:val="14"/>
  </w:num>
  <w:num w:numId="66">
    <w:abstractNumId w:val="32"/>
  </w:num>
  <w:num w:numId="67">
    <w:abstractNumId w:val="52"/>
  </w:num>
  <w:num w:numId="68">
    <w:abstractNumId w:val="58"/>
  </w:num>
  <w:num w:numId="69">
    <w:abstractNumId w:val="40"/>
  </w:num>
  <w:num w:numId="70">
    <w:abstractNumId w:val="70"/>
  </w:num>
  <w:num w:numId="71">
    <w:abstractNumId w:val="51"/>
  </w:num>
  <w:num w:numId="72">
    <w:abstractNumId w:val="82"/>
  </w:num>
  <w:num w:numId="73">
    <w:abstractNumId w:val="7"/>
  </w:num>
  <w:num w:numId="74">
    <w:abstractNumId w:val="15"/>
  </w:num>
  <w:num w:numId="75">
    <w:abstractNumId w:val="60"/>
  </w:num>
  <w:num w:numId="76">
    <w:abstractNumId w:val="48"/>
  </w:num>
  <w:num w:numId="77">
    <w:abstractNumId w:val="17"/>
  </w:num>
  <w:num w:numId="78">
    <w:abstractNumId w:val="24"/>
  </w:num>
  <w:num w:numId="79">
    <w:abstractNumId w:val="92"/>
  </w:num>
  <w:num w:numId="80">
    <w:abstractNumId w:val="22"/>
  </w:num>
  <w:num w:numId="81">
    <w:abstractNumId w:val="97"/>
  </w:num>
  <w:num w:numId="82">
    <w:abstractNumId w:val="9"/>
  </w:num>
  <w:num w:numId="83">
    <w:abstractNumId w:val="78"/>
  </w:num>
  <w:num w:numId="84">
    <w:abstractNumId w:val="61"/>
  </w:num>
  <w:num w:numId="85">
    <w:abstractNumId w:val="20"/>
  </w:num>
  <w:num w:numId="86">
    <w:abstractNumId w:val="28"/>
  </w:num>
  <w:num w:numId="87">
    <w:abstractNumId w:val="76"/>
  </w:num>
  <w:num w:numId="88">
    <w:abstractNumId w:val="72"/>
  </w:num>
  <w:num w:numId="89">
    <w:abstractNumId w:val="13"/>
  </w:num>
  <w:num w:numId="90">
    <w:abstractNumId w:val="41"/>
  </w:num>
  <w:num w:numId="91">
    <w:abstractNumId w:val="38"/>
  </w:num>
  <w:num w:numId="92">
    <w:abstractNumId w:val="106"/>
  </w:num>
  <w:num w:numId="93">
    <w:abstractNumId w:val="43"/>
  </w:num>
  <w:num w:numId="94">
    <w:abstractNumId w:val="27"/>
  </w:num>
  <w:num w:numId="95">
    <w:abstractNumId w:val="23"/>
  </w:num>
  <w:num w:numId="96">
    <w:abstractNumId w:val="31"/>
  </w:num>
  <w:num w:numId="97">
    <w:abstractNumId w:val="3"/>
  </w:num>
  <w:num w:numId="98">
    <w:abstractNumId w:val="10"/>
  </w:num>
  <w:num w:numId="99">
    <w:abstractNumId w:val="16"/>
  </w:num>
  <w:num w:numId="100">
    <w:abstractNumId w:val="0"/>
  </w:num>
  <w:num w:numId="101">
    <w:abstractNumId w:val="89"/>
  </w:num>
  <w:num w:numId="102">
    <w:abstractNumId w:val="94"/>
  </w:num>
  <w:num w:numId="103">
    <w:abstractNumId w:val="111"/>
  </w:num>
  <w:num w:numId="104">
    <w:abstractNumId w:val="5"/>
  </w:num>
  <w:num w:numId="105">
    <w:abstractNumId w:val="55"/>
  </w:num>
  <w:num w:numId="106">
    <w:abstractNumId w:val="53"/>
  </w:num>
  <w:num w:numId="107">
    <w:abstractNumId w:val="37"/>
  </w:num>
  <w:num w:numId="108">
    <w:abstractNumId w:val="4"/>
  </w:num>
  <w:num w:numId="109">
    <w:abstractNumId w:val="44"/>
  </w:num>
  <w:num w:numId="110">
    <w:abstractNumId w:val="65"/>
  </w:num>
  <w:num w:numId="111">
    <w:abstractNumId w:val="26"/>
  </w:num>
  <w:num w:numId="1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cumentProtection w:enforcement="0"/>
  <w:defaultTabStop w:val="708"/>
  <w:hyphenationZone w:val="425"/>
  <w:characterSpacingControl w:val="doNotCompress"/>
  <w:hdrShapeDefaults>
    <o:shapelayout v:ext="edit">
      <o:idmap v:ext="edit" data="2"/>
    </o:shapelayout>
  </w:hdrShapeDefault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11A8"/>
    <w:rsid w:val="00000528"/>
    <w:rsid w:val="00000794"/>
    <w:rsid w:val="00001827"/>
    <w:rsid w:val="0000190B"/>
    <w:rsid w:val="00004E34"/>
    <w:rsid w:val="000050C5"/>
    <w:rsid w:val="000137E7"/>
    <w:rsid w:val="00015193"/>
    <w:rsid w:val="000213CD"/>
    <w:rsid w:val="00021ACC"/>
    <w:rsid w:val="00022BBA"/>
    <w:rsid w:val="00022F92"/>
    <w:rsid w:val="00022FC0"/>
    <w:rsid w:val="0002417F"/>
    <w:rsid w:val="00031A9E"/>
    <w:rsid w:val="00032284"/>
    <w:rsid w:val="00032352"/>
    <w:rsid w:val="000337EC"/>
    <w:rsid w:val="000347F8"/>
    <w:rsid w:val="000361C5"/>
    <w:rsid w:val="00036664"/>
    <w:rsid w:val="00037905"/>
    <w:rsid w:val="00041760"/>
    <w:rsid w:val="000443AE"/>
    <w:rsid w:val="000457E2"/>
    <w:rsid w:val="000459E7"/>
    <w:rsid w:val="00045F7D"/>
    <w:rsid w:val="0005041C"/>
    <w:rsid w:val="00050A15"/>
    <w:rsid w:val="000510DB"/>
    <w:rsid w:val="00051E27"/>
    <w:rsid w:val="00052D13"/>
    <w:rsid w:val="00053C6F"/>
    <w:rsid w:val="000547EE"/>
    <w:rsid w:val="00054D77"/>
    <w:rsid w:val="00060FBB"/>
    <w:rsid w:val="000616DE"/>
    <w:rsid w:val="00061741"/>
    <w:rsid w:val="00062E9A"/>
    <w:rsid w:val="00062F8B"/>
    <w:rsid w:val="000641CA"/>
    <w:rsid w:val="00064A7A"/>
    <w:rsid w:val="0006665F"/>
    <w:rsid w:val="00067060"/>
    <w:rsid w:val="000713AF"/>
    <w:rsid w:val="00071CB1"/>
    <w:rsid w:val="000744CD"/>
    <w:rsid w:val="00074D51"/>
    <w:rsid w:val="00075FC7"/>
    <w:rsid w:val="000767DD"/>
    <w:rsid w:val="00077F11"/>
    <w:rsid w:val="00080DF5"/>
    <w:rsid w:val="00080E74"/>
    <w:rsid w:val="00082F09"/>
    <w:rsid w:val="00083270"/>
    <w:rsid w:val="00084EE3"/>
    <w:rsid w:val="00091AE1"/>
    <w:rsid w:val="00096D7F"/>
    <w:rsid w:val="00097687"/>
    <w:rsid w:val="00097E97"/>
    <w:rsid w:val="000A0574"/>
    <w:rsid w:val="000A0781"/>
    <w:rsid w:val="000A0F5C"/>
    <w:rsid w:val="000A2207"/>
    <w:rsid w:val="000A23E9"/>
    <w:rsid w:val="000A2D87"/>
    <w:rsid w:val="000A383F"/>
    <w:rsid w:val="000A4281"/>
    <w:rsid w:val="000A552E"/>
    <w:rsid w:val="000A73E6"/>
    <w:rsid w:val="000A73ED"/>
    <w:rsid w:val="000B1967"/>
    <w:rsid w:val="000B1F84"/>
    <w:rsid w:val="000B2847"/>
    <w:rsid w:val="000B43EE"/>
    <w:rsid w:val="000B4D97"/>
    <w:rsid w:val="000B5DE3"/>
    <w:rsid w:val="000B6B08"/>
    <w:rsid w:val="000B72D9"/>
    <w:rsid w:val="000C26D5"/>
    <w:rsid w:val="000C2D3B"/>
    <w:rsid w:val="000C370A"/>
    <w:rsid w:val="000D232B"/>
    <w:rsid w:val="000D39AD"/>
    <w:rsid w:val="000D4D96"/>
    <w:rsid w:val="000D5949"/>
    <w:rsid w:val="000D5CB0"/>
    <w:rsid w:val="000D5FB3"/>
    <w:rsid w:val="000D62A5"/>
    <w:rsid w:val="000D658B"/>
    <w:rsid w:val="000D6E40"/>
    <w:rsid w:val="000D7B3D"/>
    <w:rsid w:val="000E1AA9"/>
    <w:rsid w:val="000E201D"/>
    <w:rsid w:val="000E43C6"/>
    <w:rsid w:val="000F00E7"/>
    <w:rsid w:val="000F1933"/>
    <w:rsid w:val="000F20DB"/>
    <w:rsid w:val="000F70A8"/>
    <w:rsid w:val="000F70BA"/>
    <w:rsid w:val="000F716D"/>
    <w:rsid w:val="000F79BF"/>
    <w:rsid w:val="001053BF"/>
    <w:rsid w:val="00106D67"/>
    <w:rsid w:val="00107A93"/>
    <w:rsid w:val="00113644"/>
    <w:rsid w:val="00113AD5"/>
    <w:rsid w:val="001171DE"/>
    <w:rsid w:val="00117354"/>
    <w:rsid w:val="0011740F"/>
    <w:rsid w:val="00120747"/>
    <w:rsid w:val="00120BA1"/>
    <w:rsid w:val="00120FBF"/>
    <w:rsid w:val="00121B86"/>
    <w:rsid w:val="001227A0"/>
    <w:rsid w:val="0012315A"/>
    <w:rsid w:val="001232AF"/>
    <w:rsid w:val="00124716"/>
    <w:rsid w:val="00124B07"/>
    <w:rsid w:val="001252BC"/>
    <w:rsid w:val="00127C10"/>
    <w:rsid w:val="00127C88"/>
    <w:rsid w:val="0013061F"/>
    <w:rsid w:val="00130FE3"/>
    <w:rsid w:val="001314C1"/>
    <w:rsid w:val="00132431"/>
    <w:rsid w:val="00132A51"/>
    <w:rsid w:val="00134B79"/>
    <w:rsid w:val="001359ED"/>
    <w:rsid w:val="0013659F"/>
    <w:rsid w:val="001368E6"/>
    <w:rsid w:val="00137219"/>
    <w:rsid w:val="00140E44"/>
    <w:rsid w:val="00140ECE"/>
    <w:rsid w:val="00143611"/>
    <w:rsid w:val="00145A16"/>
    <w:rsid w:val="00146090"/>
    <w:rsid w:val="001468BF"/>
    <w:rsid w:val="00146AAB"/>
    <w:rsid w:val="001470B2"/>
    <w:rsid w:val="00147D0D"/>
    <w:rsid w:val="00150ACD"/>
    <w:rsid w:val="001521ED"/>
    <w:rsid w:val="001525F6"/>
    <w:rsid w:val="0015265C"/>
    <w:rsid w:val="00152947"/>
    <w:rsid w:val="00152BE0"/>
    <w:rsid w:val="001545CC"/>
    <w:rsid w:val="00154EB3"/>
    <w:rsid w:val="00156225"/>
    <w:rsid w:val="001573EE"/>
    <w:rsid w:val="00157DF5"/>
    <w:rsid w:val="00160446"/>
    <w:rsid w:val="00161640"/>
    <w:rsid w:val="00161693"/>
    <w:rsid w:val="00163165"/>
    <w:rsid w:val="00166875"/>
    <w:rsid w:val="00167B4B"/>
    <w:rsid w:val="00167C3A"/>
    <w:rsid w:val="001701D2"/>
    <w:rsid w:val="001704FD"/>
    <w:rsid w:val="00172795"/>
    <w:rsid w:val="00172825"/>
    <w:rsid w:val="00172CFD"/>
    <w:rsid w:val="001731AF"/>
    <w:rsid w:val="00173660"/>
    <w:rsid w:val="001749EE"/>
    <w:rsid w:val="001804E7"/>
    <w:rsid w:val="00180728"/>
    <w:rsid w:val="00181479"/>
    <w:rsid w:val="00181A2E"/>
    <w:rsid w:val="00182415"/>
    <w:rsid w:val="00183A4D"/>
    <w:rsid w:val="00187C65"/>
    <w:rsid w:val="001900DC"/>
    <w:rsid w:val="00191242"/>
    <w:rsid w:val="001913CA"/>
    <w:rsid w:val="00192E36"/>
    <w:rsid w:val="00193351"/>
    <w:rsid w:val="00193DD4"/>
    <w:rsid w:val="00194561"/>
    <w:rsid w:val="00195BC7"/>
    <w:rsid w:val="00195D1D"/>
    <w:rsid w:val="0019662C"/>
    <w:rsid w:val="00196EAA"/>
    <w:rsid w:val="001A19A7"/>
    <w:rsid w:val="001A31E2"/>
    <w:rsid w:val="001A4935"/>
    <w:rsid w:val="001A533C"/>
    <w:rsid w:val="001A5E6E"/>
    <w:rsid w:val="001A6151"/>
    <w:rsid w:val="001A6CD4"/>
    <w:rsid w:val="001B7622"/>
    <w:rsid w:val="001B79DE"/>
    <w:rsid w:val="001B7D77"/>
    <w:rsid w:val="001C0877"/>
    <w:rsid w:val="001C11ED"/>
    <w:rsid w:val="001C14B8"/>
    <w:rsid w:val="001C1DD9"/>
    <w:rsid w:val="001C29E6"/>
    <w:rsid w:val="001C3279"/>
    <w:rsid w:val="001C3E5D"/>
    <w:rsid w:val="001C5281"/>
    <w:rsid w:val="001C5882"/>
    <w:rsid w:val="001C5E14"/>
    <w:rsid w:val="001C67D5"/>
    <w:rsid w:val="001C6C3D"/>
    <w:rsid w:val="001D08FE"/>
    <w:rsid w:val="001D122A"/>
    <w:rsid w:val="001D1EB3"/>
    <w:rsid w:val="001D2038"/>
    <w:rsid w:val="001D51FF"/>
    <w:rsid w:val="001D5D84"/>
    <w:rsid w:val="001D5EB4"/>
    <w:rsid w:val="001D68ED"/>
    <w:rsid w:val="001D6CF0"/>
    <w:rsid w:val="001D78F7"/>
    <w:rsid w:val="001D7E25"/>
    <w:rsid w:val="001E05E7"/>
    <w:rsid w:val="001E0C01"/>
    <w:rsid w:val="001E176F"/>
    <w:rsid w:val="001E2A19"/>
    <w:rsid w:val="001E3B36"/>
    <w:rsid w:val="001E51A5"/>
    <w:rsid w:val="001E51FE"/>
    <w:rsid w:val="001E5953"/>
    <w:rsid w:val="001E6700"/>
    <w:rsid w:val="001F0660"/>
    <w:rsid w:val="001F0C39"/>
    <w:rsid w:val="001F0DE6"/>
    <w:rsid w:val="001F20BC"/>
    <w:rsid w:val="001F407B"/>
    <w:rsid w:val="001F5332"/>
    <w:rsid w:val="001F5679"/>
    <w:rsid w:val="001F57FC"/>
    <w:rsid w:val="001F59DA"/>
    <w:rsid w:val="001F5BA4"/>
    <w:rsid w:val="001F6792"/>
    <w:rsid w:val="001F7F1D"/>
    <w:rsid w:val="00202EAD"/>
    <w:rsid w:val="00203E08"/>
    <w:rsid w:val="00204FB8"/>
    <w:rsid w:val="0020539D"/>
    <w:rsid w:val="002061CA"/>
    <w:rsid w:val="0020643E"/>
    <w:rsid w:val="00207E97"/>
    <w:rsid w:val="00210A71"/>
    <w:rsid w:val="002123F2"/>
    <w:rsid w:val="0021343A"/>
    <w:rsid w:val="00220018"/>
    <w:rsid w:val="002204DB"/>
    <w:rsid w:val="00220BBA"/>
    <w:rsid w:val="00221119"/>
    <w:rsid w:val="002231CF"/>
    <w:rsid w:val="00223F27"/>
    <w:rsid w:val="0022563E"/>
    <w:rsid w:val="00225B68"/>
    <w:rsid w:val="00225EA4"/>
    <w:rsid w:val="00226ADE"/>
    <w:rsid w:val="00226DDD"/>
    <w:rsid w:val="00226EC7"/>
    <w:rsid w:val="002306E0"/>
    <w:rsid w:val="002312C2"/>
    <w:rsid w:val="00232F5A"/>
    <w:rsid w:val="002338D9"/>
    <w:rsid w:val="00234DFC"/>
    <w:rsid w:val="002351A3"/>
    <w:rsid w:val="0023523B"/>
    <w:rsid w:val="002357DA"/>
    <w:rsid w:val="00236AD4"/>
    <w:rsid w:val="00240C41"/>
    <w:rsid w:val="002418DB"/>
    <w:rsid w:val="0024338F"/>
    <w:rsid w:val="00243E07"/>
    <w:rsid w:val="00243EAE"/>
    <w:rsid w:val="002440A6"/>
    <w:rsid w:val="00245E05"/>
    <w:rsid w:val="00246428"/>
    <w:rsid w:val="00247920"/>
    <w:rsid w:val="00251AAB"/>
    <w:rsid w:val="00251D8A"/>
    <w:rsid w:val="00252474"/>
    <w:rsid w:val="00252AF9"/>
    <w:rsid w:val="00253682"/>
    <w:rsid w:val="00253A34"/>
    <w:rsid w:val="0025473A"/>
    <w:rsid w:val="0025537E"/>
    <w:rsid w:val="002644E4"/>
    <w:rsid w:val="0026454D"/>
    <w:rsid w:val="002655D5"/>
    <w:rsid w:val="00267D40"/>
    <w:rsid w:val="00271A4C"/>
    <w:rsid w:val="0027438F"/>
    <w:rsid w:val="00274A65"/>
    <w:rsid w:val="002767E2"/>
    <w:rsid w:val="00276D4F"/>
    <w:rsid w:val="0027729A"/>
    <w:rsid w:val="00277A5C"/>
    <w:rsid w:val="00277AAB"/>
    <w:rsid w:val="0028069C"/>
    <w:rsid w:val="00280932"/>
    <w:rsid w:val="00281094"/>
    <w:rsid w:val="002815F2"/>
    <w:rsid w:val="00281B33"/>
    <w:rsid w:val="002832CD"/>
    <w:rsid w:val="002851BF"/>
    <w:rsid w:val="002935FA"/>
    <w:rsid w:val="00294334"/>
    <w:rsid w:val="0029442E"/>
    <w:rsid w:val="00297094"/>
    <w:rsid w:val="002A0D8D"/>
    <w:rsid w:val="002A0EB9"/>
    <w:rsid w:val="002A263C"/>
    <w:rsid w:val="002A49C6"/>
    <w:rsid w:val="002A5223"/>
    <w:rsid w:val="002A5BFB"/>
    <w:rsid w:val="002A72E0"/>
    <w:rsid w:val="002A7E3D"/>
    <w:rsid w:val="002B0FBF"/>
    <w:rsid w:val="002B2996"/>
    <w:rsid w:val="002B2BBF"/>
    <w:rsid w:val="002B35E8"/>
    <w:rsid w:val="002B4B40"/>
    <w:rsid w:val="002B50DA"/>
    <w:rsid w:val="002B54CA"/>
    <w:rsid w:val="002B59BF"/>
    <w:rsid w:val="002B5E1C"/>
    <w:rsid w:val="002B6C96"/>
    <w:rsid w:val="002B6CAE"/>
    <w:rsid w:val="002B739C"/>
    <w:rsid w:val="002B74B5"/>
    <w:rsid w:val="002B7752"/>
    <w:rsid w:val="002C2E66"/>
    <w:rsid w:val="002C4AF1"/>
    <w:rsid w:val="002C562E"/>
    <w:rsid w:val="002C5B0D"/>
    <w:rsid w:val="002D0E4E"/>
    <w:rsid w:val="002D159C"/>
    <w:rsid w:val="002D1975"/>
    <w:rsid w:val="002D3B1E"/>
    <w:rsid w:val="002D5797"/>
    <w:rsid w:val="002D57D1"/>
    <w:rsid w:val="002D6551"/>
    <w:rsid w:val="002D72BE"/>
    <w:rsid w:val="002D7C1D"/>
    <w:rsid w:val="002E0365"/>
    <w:rsid w:val="002E09C6"/>
    <w:rsid w:val="002E14BB"/>
    <w:rsid w:val="002E1FD9"/>
    <w:rsid w:val="002E2385"/>
    <w:rsid w:val="002E2503"/>
    <w:rsid w:val="002E3C2C"/>
    <w:rsid w:val="002E4078"/>
    <w:rsid w:val="002E435B"/>
    <w:rsid w:val="002E43E6"/>
    <w:rsid w:val="002E4FA4"/>
    <w:rsid w:val="002F0178"/>
    <w:rsid w:val="002F0E7B"/>
    <w:rsid w:val="002F2848"/>
    <w:rsid w:val="002F4752"/>
    <w:rsid w:val="002F6D97"/>
    <w:rsid w:val="002F7F02"/>
    <w:rsid w:val="003042C8"/>
    <w:rsid w:val="0030514C"/>
    <w:rsid w:val="003115A9"/>
    <w:rsid w:val="003126A7"/>
    <w:rsid w:val="00312CAC"/>
    <w:rsid w:val="00313470"/>
    <w:rsid w:val="00317408"/>
    <w:rsid w:val="003176CC"/>
    <w:rsid w:val="00320524"/>
    <w:rsid w:val="00320BC2"/>
    <w:rsid w:val="00320D8B"/>
    <w:rsid w:val="0032165C"/>
    <w:rsid w:val="00321B76"/>
    <w:rsid w:val="00322C2B"/>
    <w:rsid w:val="00323C31"/>
    <w:rsid w:val="003249EB"/>
    <w:rsid w:val="00324DA0"/>
    <w:rsid w:val="00325E1D"/>
    <w:rsid w:val="00326224"/>
    <w:rsid w:val="003268B7"/>
    <w:rsid w:val="00326D83"/>
    <w:rsid w:val="00326DBC"/>
    <w:rsid w:val="0032705E"/>
    <w:rsid w:val="00330D32"/>
    <w:rsid w:val="00331373"/>
    <w:rsid w:val="003349CD"/>
    <w:rsid w:val="00341633"/>
    <w:rsid w:val="00341EB1"/>
    <w:rsid w:val="0034338D"/>
    <w:rsid w:val="0034465D"/>
    <w:rsid w:val="00344B6A"/>
    <w:rsid w:val="00344DB1"/>
    <w:rsid w:val="00345291"/>
    <w:rsid w:val="0034574F"/>
    <w:rsid w:val="00346645"/>
    <w:rsid w:val="003466DF"/>
    <w:rsid w:val="0034707B"/>
    <w:rsid w:val="00350E99"/>
    <w:rsid w:val="0035306D"/>
    <w:rsid w:val="0035519D"/>
    <w:rsid w:val="003554EC"/>
    <w:rsid w:val="00356F12"/>
    <w:rsid w:val="00360AC3"/>
    <w:rsid w:val="003643F7"/>
    <w:rsid w:val="003648B0"/>
    <w:rsid w:val="003653E8"/>
    <w:rsid w:val="00367BE0"/>
    <w:rsid w:val="00370C50"/>
    <w:rsid w:val="00372F04"/>
    <w:rsid w:val="00373CF7"/>
    <w:rsid w:val="00374395"/>
    <w:rsid w:val="003761ED"/>
    <w:rsid w:val="003766D5"/>
    <w:rsid w:val="00377A86"/>
    <w:rsid w:val="00380425"/>
    <w:rsid w:val="0038066B"/>
    <w:rsid w:val="003809B7"/>
    <w:rsid w:val="003822E1"/>
    <w:rsid w:val="003824CD"/>
    <w:rsid w:val="003824CF"/>
    <w:rsid w:val="00383EFC"/>
    <w:rsid w:val="00385CC3"/>
    <w:rsid w:val="00386E97"/>
    <w:rsid w:val="00391C84"/>
    <w:rsid w:val="00391D8B"/>
    <w:rsid w:val="0039344C"/>
    <w:rsid w:val="0039344E"/>
    <w:rsid w:val="0039411E"/>
    <w:rsid w:val="00394436"/>
    <w:rsid w:val="00394CDB"/>
    <w:rsid w:val="0039505D"/>
    <w:rsid w:val="00396A4F"/>
    <w:rsid w:val="00397983"/>
    <w:rsid w:val="00397A44"/>
    <w:rsid w:val="003A3812"/>
    <w:rsid w:val="003A4479"/>
    <w:rsid w:val="003A5AF7"/>
    <w:rsid w:val="003A6E20"/>
    <w:rsid w:val="003A6F53"/>
    <w:rsid w:val="003A7070"/>
    <w:rsid w:val="003A7143"/>
    <w:rsid w:val="003A7205"/>
    <w:rsid w:val="003B1485"/>
    <w:rsid w:val="003B721B"/>
    <w:rsid w:val="003B7A53"/>
    <w:rsid w:val="003C113A"/>
    <w:rsid w:val="003C13E9"/>
    <w:rsid w:val="003C2998"/>
    <w:rsid w:val="003C2B97"/>
    <w:rsid w:val="003C3456"/>
    <w:rsid w:val="003C66E3"/>
    <w:rsid w:val="003D00F1"/>
    <w:rsid w:val="003D04A6"/>
    <w:rsid w:val="003D113F"/>
    <w:rsid w:val="003D23D0"/>
    <w:rsid w:val="003D34BE"/>
    <w:rsid w:val="003D39AE"/>
    <w:rsid w:val="003D3C2E"/>
    <w:rsid w:val="003D5EAC"/>
    <w:rsid w:val="003D6173"/>
    <w:rsid w:val="003D6DFE"/>
    <w:rsid w:val="003D7DF6"/>
    <w:rsid w:val="003D7EAD"/>
    <w:rsid w:val="003E1E19"/>
    <w:rsid w:val="003E35DA"/>
    <w:rsid w:val="003E5482"/>
    <w:rsid w:val="003E6630"/>
    <w:rsid w:val="003E6776"/>
    <w:rsid w:val="003E689B"/>
    <w:rsid w:val="003E739F"/>
    <w:rsid w:val="003F0E18"/>
    <w:rsid w:val="003F1483"/>
    <w:rsid w:val="003F25D7"/>
    <w:rsid w:val="003F3F8D"/>
    <w:rsid w:val="003F4638"/>
    <w:rsid w:val="003F60E2"/>
    <w:rsid w:val="003F74FE"/>
    <w:rsid w:val="003F763E"/>
    <w:rsid w:val="004001D7"/>
    <w:rsid w:val="004007E2"/>
    <w:rsid w:val="00401563"/>
    <w:rsid w:val="00401F5D"/>
    <w:rsid w:val="00402235"/>
    <w:rsid w:val="004031BF"/>
    <w:rsid w:val="0040327B"/>
    <w:rsid w:val="00403341"/>
    <w:rsid w:val="004061FD"/>
    <w:rsid w:val="00406AFA"/>
    <w:rsid w:val="004102DE"/>
    <w:rsid w:val="00413062"/>
    <w:rsid w:val="00413AF0"/>
    <w:rsid w:val="0041496D"/>
    <w:rsid w:val="00415516"/>
    <w:rsid w:val="00416837"/>
    <w:rsid w:val="0041736E"/>
    <w:rsid w:val="00417579"/>
    <w:rsid w:val="0041757D"/>
    <w:rsid w:val="00417D87"/>
    <w:rsid w:val="004210FE"/>
    <w:rsid w:val="004218D6"/>
    <w:rsid w:val="004221A2"/>
    <w:rsid w:val="00423051"/>
    <w:rsid w:val="00425CDA"/>
    <w:rsid w:val="00425F24"/>
    <w:rsid w:val="00427C27"/>
    <w:rsid w:val="00430930"/>
    <w:rsid w:val="004339AE"/>
    <w:rsid w:val="004343B6"/>
    <w:rsid w:val="00436DD0"/>
    <w:rsid w:val="0044257D"/>
    <w:rsid w:val="00442D28"/>
    <w:rsid w:val="004434FE"/>
    <w:rsid w:val="00444FE7"/>
    <w:rsid w:val="00446AD8"/>
    <w:rsid w:val="00447876"/>
    <w:rsid w:val="00453058"/>
    <w:rsid w:val="00453FB9"/>
    <w:rsid w:val="004544B1"/>
    <w:rsid w:val="00454AF9"/>
    <w:rsid w:val="00454BF1"/>
    <w:rsid w:val="00455CFC"/>
    <w:rsid w:val="00457081"/>
    <w:rsid w:val="004610CA"/>
    <w:rsid w:val="004642E3"/>
    <w:rsid w:val="00464778"/>
    <w:rsid w:val="00465D26"/>
    <w:rsid w:val="004666EA"/>
    <w:rsid w:val="00466B9C"/>
    <w:rsid w:val="00466D3D"/>
    <w:rsid w:val="00471779"/>
    <w:rsid w:val="0047208A"/>
    <w:rsid w:val="00472361"/>
    <w:rsid w:val="00472574"/>
    <w:rsid w:val="0047333E"/>
    <w:rsid w:val="004747A7"/>
    <w:rsid w:val="00474DA0"/>
    <w:rsid w:val="004763F4"/>
    <w:rsid w:val="004776AE"/>
    <w:rsid w:val="004778DB"/>
    <w:rsid w:val="00480413"/>
    <w:rsid w:val="0048087D"/>
    <w:rsid w:val="00485480"/>
    <w:rsid w:val="00486132"/>
    <w:rsid w:val="00486CFA"/>
    <w:rsid w:val="004879B3"/>
    <w:rsid w:val="00490384"/>
    <w:rsid w:val="00490A6D"/>
    <w:rsid w:val="004912DA"/>
    <w:rsid w:val="00491556"/>
    <w:rsid w:val="00491F1C"/>
    <w:rsid w:val="0049204D"/>
    <w:rsid w:val="0049273E"/>
    <w:rsid w:val="00494727"/>
    <w:rsid w:val="00497EEC"/>
    <w:rsid w:val="004A2BB2"/>
    <w:rsid w:val="004A38EB"/>
    <w:rsid w:val="004A4304"/>
    <w:rsid w:val="004A5FC0"/>
    <w:rsid w:val="004A69D7"/>
    <w:rsid w:val="004B2CB9"/>
    <w:rsid w:val="004B3322"/>
    <w:rsid w:val="004B3BFD"/>
    <w:rsid w:val="004B3F6C"/>
    <w:rsid w:val="004B42CD"/>
    <w:rsid w:val="004B4AC7"/>
    <w:rsid w:val="004B4E91"/>
    <w:rsid w:val="004B5594"/>
    <w:rsid w:val="004B6B42"/>
    <w:rsid w:val="004C08F1"/>
    <w:rsid w:val="004C157F"/>
    <w:rsid w:val="004C17B0"/>
    <w:rsid w:val="004C1ECE"/>
    <w:rsid w:val="004C2A15"/>
    <w:rsid w:val="004C3436"/>
    <w:rsid w:val="004C39DC"/>
    <w:rsid w:val="004C402A"/>
    <w:rsid w:val="004C4299"/>
    <w:rsid w:val="004C482C"/>
    <w:rsid w:val="004C51BF"/>
    <w:rsid w:val="004C622E"/>
    <w:rsid w:val="004C6374"/>
    <w:rsid w:val="004C66B8"/>
    <w:rsid w:val="004C6DFD"/>
    <w:rsid w:val="004C70F4"/>
    <w:rsid w:val="004C76E4"/>
    <w:rsid w:val="004C7712"/>
    <w:rsid w:val="004C7A4D"/>
    <w:rsid w:val="004C7F72"/>
    <w:rsid w:val="004D2477"/>
    <w:rsid w:val="004D3352"/>
    <w:rsid w:val="004D3FA3"/>
    <w:rsid w:val="004D4619"/>
    <w:rsid w:val="004D64BF"/>
    <w:rsid w:val="004D7462"/>
    <w:rsid w:val="004D7941"/>
    <w:rsid w:val="004E4A08"/>
    <w:rsid w:val="004E4BB4"/>
    <w:rsid w:val="004E628E"/>
    <w:rsid w:val="004E633E"/>
    <w:rsid w:val="004F1B60"/>
    <w:rsid w:val="004F21CA"/>
    <w:rsid w:val="004F43A5"/>
    <w:rsid w:val="004F4959"/>
    <w:rsid w:val="004F4B0F"/>
    <w:rsid w:val="004F4F24"/>
    <w:rsid w:val="004F542C"/>
    <w:rsid w:val="004F7E47"/>
    <w:rsid w:val="005008E7"/>
    <w:rsid w:val="005011A8"/>
    <w:rsid w:val="00501A04"/>
    <w:rsid w:val="00501CBF"/>
    <w:rsid w:val="00503196"/>
    <w:rsid w:val="0050338A"/>
    <w:rsid w:val="00503B51"/>
    <w:rsid w:val="005054B2"/>
    <w:rsid w:val="00506252"/>
    <w:rsid w:val="00511713"/>
    <w:rsid w:val="00512256"/>
    <w:rsid w:val="005122C7"/>
    <w:rsid w:val="00514412"/>
    <w:rsid w:val="0051543F"/>
    <w:rsid w:val="0051683C"/>
    <w:rsid w:val="00516F0E"/>
    <w:rsid w:val="0051704F"/>
    <w:rsid w:val="00517F9C"/>
    <w:rsid w:val="00520B88"/>
    <w:rsid w:val="00521333"/>
    <w:rsid w:val="00522448"/>
    <w:rsid w:val="0052292D"/>
    <w:rsid w:val="00522C20"/>
    <w:rsid w:val="00524F01"/>
    <w:rsid w:val="005250A2"/>
    <w:rsid w:val="00525DDC"/>
    <w:rsid w:val="00526AD1"/>
    <w:rsid w:val="00527AC2"/>
    <w:rsid w:val="0053010E"/>
    <w:rsid w:val="005311C6"/>
    <w:rsid w:val="00531F3B"/>
    <w:rsid w:val="00533582"/>
    <w:rsid w:val="0053557C"/>
    <w:rsid w:val="00535C26"/>
    <w:rsid w:val="00537F5E"/>
    <w:rsid w:val="0054140A"/>
    <w:rsid w:val="00541544"/>
    <w:rsid w:val="0054278E"/>
    <w:rsid w:val="00542B3F"/>
    <w:rsid w:val="005437FB"/>
    <w:rsid w:val="0054440B"/>
    <w:rsid w:val="0054507D"/>
    <w:rsid w:val="005504E7"/>
    <w:rsid w:val="00550661"/>
    <w:rsid w:val="0055174A"/>
    <w:rsid w:val="00552C5B"/>
    <w:rsid w:val="00553193"/>
    <w:rsid w:val="00553967"/>
    <w:rsid w:val="00553B3C"/>
    <w:rsid w:val="0055433C"/>
    <w:rsid w:val="0055564A"/>
    <w:rsid w:val="00555CE1"/>
    <w:rsid w:val="00556724"/>
    <w:rsid w:val="00560087"/>
    <w:rsid w:val="00560524"/>
    <w:rsid w:val="005611A8"/>
    <w:rsid w:val="00561796"/>
    <w:rsid w:val="0056248F"/>
    <w:rsid w:val="00566673"/>
    <w:rsid w:val="0057120E"/>
    <w:rsid w:val="00571FD6"/>
    <w:rsid w:val="00572031"/>
    <w:rsid w:val="0057316D"/>
    <w:rsid w:val="00574864"/>
    <w:rsid w:val="00574FCF"/>
    <w:rsid w:val="0057578F"/>
    <w:rsid w:val="0057590A"/>
    <w:rsid w:val="00575EFD"/>
    <w:rsid w:val="00576384"/>
    <w:rsid w:val="0057699E"/>
    <w:rsid w:val="005808D5"/>
    <w:rsid w:val="00581356"/>
    <w:rsid w:val="005813EB"/>
    <w:rsid w:val="00582042"/>
    <w:rsid w:val="0058243C"/>
    <w:rsid w:val="0058244B"/>
    <w:rsid w:val="00583495"/>
    <w:rsid w:val="0058399A"/>
    <w:rsid w:val="00583CDB"/>
    <w:rsid w:val="00584791"/>
    <w:rsid w:val="00584804"/>
    <w:rsid w:val="00585012"/>
    <w:rsid w:val="00585C42"/>
    <w:rsid w:val="0059156D"/>
    <w:rsid w:val="00592903"/>
    <w:rsid w:val="00592CB4"/>
    <w:rsid w:val="00593FA3"/>
    <w:rsid w:val="00594B1C"/>
    <w:rsid w:val="00595AE6"/>
    <w:rsid w:val="005A031F"/>
    <w:rsid w:val="005A2F81"/>
    <w:rsid w:val="005A56D2"/>
    <w:rsid w:val="005A5E12"/>
    <w:rsid w:val="005A61DB"/>
    <w:rsid w:val="005B0849"/>
    <w:rsid w:val="005B19F5"/>
    <w:rsid w:val="005B2138"/>
    <w:rsid w:val="005B4B84"/>
    <w:rsid w:val="005B57D8"/>
    <w:rsid w:val="005B6B11"/>
    <w:rsid w:val="005B6E60"/>
    <w:rsid w:val="005B7405"/>
    <w:rsid w:val="005B79F6"/>
    <w:rsid w:val="005B7F56"/>
    <w:rsid w:val="005C1021"/>
    <w:rsid w:val="005C2096"/>
    <w:rsid w:val="005C29FB"/>
    <w:rsid w:val="005C3029"/>
    <w:rsid w:val="005C4C42"/>
    <w:rsid w:val="005C4FD4"/>
    <w:rsid w:val="005C5094"/>
    <w:rsid w:val="005C510F"/>
    <w:rsid w:val="005C5376"/>
    <w:rsid w:val="005C575E"/>
    <w:rsid w:val="005C5A19"/>
    <w:rsid w:val="005C5D15"/>
    <w:rsid w:val="005D0A79"/>
    <w:rsid w:val="005D2D41"/>
    <w:rsid w:val="005D36F4"/>
    <w:rsid w:val="005D3E12"/>
    <w:rsid w:val="005D4010"/>
    <w:rsid w:val="005D50BA"/>
    <w:rsid w:val="005D6652"/>
    <w:rsid w:val="005D6DCB"/>
    <w:rsid w:val="005D6E20"/>
    <w:rsid w:val="005D77B8"/>
    <w:rsid w:val="005E044D"/>
    <w:rsid w:val="005E0E8A"/>
    <w:rsid w:val="005E3A9C"/>
    <w:rsid w:val="005E5593"/>
    <w:rsid w:val="005E659C"/>
    <w:rsid w:val="005E755D"/>
    <w:rsid w:val="005E77F9"/>
    <w:rsid w:val="005E788E"/>
    <w:rsid w:val="005F0B0E"/>
    <w:rsid w:val="005F1093"/>
    <w:rsid w:val="005F2745"/>
    <w:rsid w:val="005F309E"/>
    <w:rsid w:val="005F3EE2"/>
    <w:rsid w:val="005F4432"/>
    <w:rsid w:val="005F56C9"/>
    <w:rsid w:val="005F5F7D"/>
    <w:rsid w:val="005F64BB"/>
    <w:rsid w:val="005F6A4E"/>
    <w:rsid w:val="005F7022"/>
    <w:rsid w:val="005F706F"/>
    <w:rsid w:val="005F737C"/>
    <w:rsid w:val="006003F9"/>
    <w:rsid w:val="00600ED7"/>
    <w:rsid w:val="00600FC1"/>
    <w:rsid w:val="006012C1"/>
    <w:rsid w:val="0060249F"/>
    <w:rsid w:val="0060274E"/>
    <w:rsid w:val="00602FD6"/>
    <w:rsid w:val="00603942"/>
    <w:rsid w:val="0060660F"/>
    <w:rsid w:val="00607810"/>
    <w:rsid w:val="00612A27"/>
    <w:rsid w:val="0061462F"/>
    <w:rsid w:val="00614828"/>
    <w:rsid w:val="0061519B"/>
    <w:rsid w:val="00616CE3"/>
    <w:rsid w:val="006176ED"/>
    <w:rsid w:val="00617745"/>
    <w:rsid w:val="0062079E"/>
    <w:rsid w:val="00620D1F"/>
    <w:rsid w:val="006216E6"/>
    <w:rsid w:val="00622074"/>
    <w:rsid w:val="00622EAE"/>
    <w:rsid w:val="00623543"/>
    <w:rsid w:val="00624919"/>
    <w:rsid w:val="00624EE7"/>
    <w:rsid w:val="00625F84"/>
    <w:rsid w:val="00630B02"/>
    <w:rsid w:val="00631896"/>
    <w:rsid w:val="00631F22"/>
    <w:rsid w:val="006329AB"/>
    <w:rsid w:val="00632C95"/>
    <w:rsid w:val="00635137"/>
    <w:rsid w:val="006353D6"/>
    <w:rsid w:val="00635E4C"/>
    <w:rsid w:val="00636B8F"/>
    <w:rsid w:val="00636DBF"/>
    <w:rsid w:val="00640986"/>
    <w:rsid w:val="0064189C"/>
    <w:rsid w:val="006423B6"/>
    <w:rsid w:val="0064243A"/>
    <w:rsid w:val="0064482C"/>
    <w:rsid w:val="006456F7"/>
    <w:rsid w:val="00646307"/>
    <w:rsid w:val="00646AFA"/>
    <w:rsid w:val="00646CDF"/>
    <w:rsid w:val="00647AFB"/>
    <w:rsid w:val="0065134F"/>
    <w:rsid w:val="00651500"/>
    <w:rsid w:val="00651ABE"/>
    <w:rsid w:val="00656CA2"/>
    <w:rsid w:val="00663CD2"/>
    <w:rsid w:val="00665FEE"/>
    <w:rsid w:val="00666FD3"/>
    <w:rsid w:val="006701C0"/>
    <w:rsid w:val="00670671"/>
    <w:rsid w:val="006739A5"/>
    <w:rsid w:val="00674454"/>
    <w:rsid w:val="00675B5B"/>
    <w:rsid w:val="006824D3"/>
    <w:rsid w:val="00682939"/>
    <w:rsid w:val="00683015"/>
    <w:rsid w:val="00683AA4"/>
    <w:rsid w:val="00684B09"/>
    <w:rsid w:val="00685CFC"/>
    <w:rsid w:val="00691203"/>
    <w:rsid w:val="00692D58"/>
    <w:rsid w:val="00694082"/>
    <w:rsid w:val="00695B48"/>
    <w:rsid w:val="00695F5E"/>
    <w:rsid w:val="00696912"/>
    <w:rsid w:val="00697389"/>
    <w:rsid w:val="006979B1"/>
    <w:rsid w:val="006A1A71"/>
    <w:rsid w:val="006A323B"/>
    <w:rsid w:val="006A3DB2"/>
    <w:rsid w:val="006A442A"/>
    <w:rsid w:val="006A4AF2"/>
    <w:rsid w:val="006A62CB"/>
    <w:rsid w:val="006A6809"/>
    <w:rsid w:val="006B0D7A"/>
    <w:rsid w:val="006B2409"/>
    <w:rsid w:val="006B2B87"/>
    <w:rsid w:val="006B4295"/>
    <w:rsid w:val="006B4EA5"/>
    <w:rsid w:val="006B544D"/>
    <w:rsid w:val="006B78D4"/>
    <w:rsid w:val="006C045B"/>
    <w:rsid w:val="006C31F8"/>
    <w:rsid w:val="006C4646"/>
    <w:rsid w:val="006C4F22"/>
    <w:rsid w:val="006C55B7"/>
    <w:rsid w:val="006C5BFD"/>
    <w:rsid w:val="006C70AB"/>
    <w:rsid w:val="006D2488"/>
    <w:rsid w:val="006D29BB"/>
    <w:rsid w:val="006D2C4D"/>
    <w:rsid w:val="006D3AEE"/>
    <w:rsid w:val="006D408E"/>
    <w:rsid w:val="006D41C8"/>
    <w:rsid w:val="006D5D91"/>
    <w:rsid w:val="006D718A"/>
    <w:rsid w:val="006E110F"/>
    <w:rsid w:val="006E13F8"/>
    <w:rsid w:val="006E3890"/>
    <w:rsid w:val="006E38E8"/>
    <w:rsid w:val="006E479D"/>
    <w:rsid w:val="006E49C9"/>
    <w:rsid w:val="006E505D"/>
    <w:rsid w:val="006E6B41"/>
    <w:rsid w:val="006E7566"/>
    <w:rsid w:val="006E7973"/>
    <w:rsid w:val="006F0478"/>
    <w:rsid w:val="006F34ED"/>
    <w:rsid w:val="006F385A"/>
    <w:rsid w:val="006F407D"/>
    <w:rsid w:val="006F68DB"/>
    <w:rsid w:val="006F6DAA"/>
    <w:rsid w:val="006F6EC3"/>
    <w:rsid w:val="00702C99"/>
    <w:rsid w:val="00704282"/>
    <w:rsid w:val="00704B3A"/>
    <w:rsid w:val="00705A0E"/>
    <w:rsid w:val="00706728"/>
    <w:rsid w:val="0070683D"/>
    <w:rsid w:val="00706B97"/>
    <w:rsid w:val="00707075"/>
    <w:rsid w:val="00707EF0"/>
    <w:rsid w:val="00710D58"/>
    <w:rsid w:val="00712361"/>
    <w:rsid w:val="00712A79"/>
    <w:rsid w:val="00714B7A"/>
    <w:rsid w:val="00714D42"/>
    <w:rsid w:val="00720C9B"/>
    <w:rsid w:val="0072171B"/>
    <w:rsid w:val="0072211E"/>
    <w:rsid w:val="0072357C"/>
    <w:rsid w:val="007235BE"/>
    <w:rsid w:val="00724451"/>
    <w:rsid w:val="00731808"/>
    <w:rsid w:val="0073290B"/>
    <w:rsid w:val="00732C23"/>
    <w:rsid w:val="00732DBA"/>
    <w:rsid w:val="0073438A"/>
    <w:rsid w:val="007357A2"/>
    <w:rsid w:val="00735C8C"/>
    <w:rsid w:val="0073679A"/>
    <w:rsid w:val="007367B1"/>
    <w:rsid w:val="0074149F"/>
    <w:rsid w:val="00741A29"/>
    <w:rsid w:val="00741C41"/>
    <w:rsid w:val="00746DFF"/>
    <w:rsid w:val="00747717"/>
    <w:rsid w:val="00747B66"/>
    <w:rsid w:val="00750AFC"/>
    <w:rsid w:val="007535B2"/>
    <w:rsid w:val="007553D5"/>
    <w:rsid w:val="00756495"/>
    <w:rsid w:val="00756CE3"/>
    <w:rsid w:val="00757608"/>
    <w:rsid w:val="00757729"/>
    <w:rsid w:val="00760144"/>
    <w:rsid w:val="00761283"/>
    <w:rsid w:val="00761BFF"/>
    <w:rsid w:val="00762F74"/>
    <w:rsid w:val="0076635E"/>
    <w:rsid w:val="0076696C"/>
    <w:rsid w:val="00766F10"/>
    <w:rsid w:val="00767D9E"/>
    <w:rsid w:val="007703E9"/>
    <w:rsid w:val="007703F3"/>
    <w:rsid w:val="007709A3"/>
    <w:rsid w:val="00771D0C"/>
    <w:rsid w:val="007766DE"/>
    <w:rsid w:val="00776BCC"/>
    <w:rsid w:val="00777936"/>
    <w:rsid w:val="00780B97"/>
    <w:rsid w:val="00780CB4"/>
    <w:rsid w:val="00782325"/>
    <w:rsid w:val="0078282D"/>
    <w:rsid w:val="00784FE5"/>
    <w:rsid w:val="00785562"/>
    <w:rsid w:val="00785BD9"/>
    <w:rsid w:val="00787496"/>
    <w:rsid w:val="0079138F"/>
    <w:rsid w:val="00792E56"/>
    <w:rsid w:val="00794B5C"/>
    <w:rsid w:val="00794C4F"/>
    <w:rsid w:val="00795EFA"/>
    <w:rsid w:val="007971C6"/>
    <w:rsid w:val="00797BA9"/>
    <w:rsid w:val="007A0A10"/>
    <w:rsid w:val="007A18C9"/>
    <w:rsid w:val="007A20E7"/>
    <w:rsid w:val="007A2609"/>
    <w:rsid w:val="007A27BC"/>
    <w:rsid w:val="007A2B32"/>
    <w:rsid w:val="007A46D2"/>
    <w:rsid w:val="007A6A75"/>
    <w:rsid w:val="007A6FD1"/>
    <w:rsid w:val="007B1A43"/>
    <w:rsid w:val="007B1BA4"/>
    <w:rsid w:val="007B1D19"/>
    <w:rsid w:val="007B294E"/>
    <w:rsid w:val="007B32E4"/>
    <w:rsid w:val="007B34A7"/>
    <w:rsid w:val="007B474D"/>
    <w:rsid w:val="007B4C6E"/>
    <w:rsid w:val="007B6F7B"/>
    <w:rsid w:val="007B7BFF"/>
    <w:rsid w:val="007C0484"/>
    <w:rsid w:val="007C3106"/>
    <w:rsid w:val="007C370A"/>
    <w:rsid w:val="007C3728"/>
    <w:rsid w:val="007C42CE"/>
    <w:rsid w:val="007C4907"/>
    <w:rsid w:val="007D0DAA"/>
    <w:rsid w:val="007D1968"/>
    <w:rsid w:val="007D1DED"/>
    <w:rsid w:val="007D1E8F"/>
    <w:rsid w:val="007D38A3"/>
    <w:rsid w:val="007D617A"/>
    <w:rsid w:val="007D6858"/>
    <w:rsid w:val="007D7D07"/>
    <w:rsid w:val="007E0C32"/>
    <w:rsid w:val="007E1513"/>
    <w:rsid w:val="007E2B06"/>
    <w:rsid w:val="007E2BB0"/>
    <w:rsid w:val="007E2D06"/>
    <w:rsid w:val="007E4128"/>
    <w:rsid w:val="007E6E75"/>
    <w:rsid w:val="007E719E"/>
    <w:rsid w:val="007E7B88"/>
    <w:rsid w:val="007F03AB"/>
    <w:rsid w:val="007F2406"/>
    <w:rsid w:val="007F3341"/>
    <w:rsid w:val="007F34F4"/>
    <w:rsid w:val="007F3AA9"/>
    <w:rsid w:val="007F4E29"/>
    <w:rsid w:val="007F51A9"/>
    <w:rsid w:val="007F5C9E"/>
    <w:rsid w:val="007F78B6"/>
    <w:rsid w:val="00801728"/>
    <w:rsid w:val="00801F12"/>
    <w:rsid w:val="0080223F"/>
    <w:rsid w:val="008035A7"/>
    <w:rsid w:val="0080693A"/>
    <w:rsid w:val="00810368"/>
    <w:rsid w:val="00811373"/>
    <w:rsid w:val="00813078"/>
    <w:rsid w:val="008139CB"/>
    <w:rsid w:val="008146F8"/>
    <w:rsid w:val="00814C0D"/>
    <w:rsid w:val="00816AD0"/>
    <w:rsid w:val="00816B4D"/>
    <w:rsid w:val="0081721F"/>
    <w:rsid w:val="00817524"/>
    <w:rsid w:val="00820652"/>
    <w:rsid w:val="0082155A"/>
    <w:rsid w:val="00821FF1"/>
    <w:rsid w:val="00822067"/>
    <w:rsid w:val="00823C6C"/>
    <w:rsid w:val="00823E61"/>
    <w:rsid w:val="008242C7"/>
    <w:rsid w:val="00826186"/>
    <w:rsid w:val="0082759A"/>
    <w:rsid w:val="0082799D"/>
    <w:rsid w:val="00827A86"/>
    <w:rsid w:val="0083031D"/>
    <w:rsid w:val="00830DFE"/>
    <w:rsid w:val="00832530"/>
    <w:rsid w:val="00833C93"/>
    <w:rsid w:val="00833CFF"/>
    <w:rsid w:val="008349B0"/>
    <w:rsid w:val="00834BBB"/>
    <w:rsid w:val="00835171"/>
    <w:rsid w:val="00836FEE"/>
    <w:rsid w:val="00837171"/>
    <w:rsid w:val="00842411"/>
    <w:rsid w:val="008424F9"/>
    <w:rsid w:val="00843062"/>
    <w:rsid w:val="00843F6D"/>
    <w:rsid w:val="0084458C"/>
    <w:rsid w:val="008468EC"/>
    <w:rsid w:val="00846CF5"/>
    <w:rsid w:val="00847668"/>
    <w:rsid w:val="0085029D"/>
    <w:rsid w:val="00850F1E"/>
    <w:rsid w:val="00851D53"/>
    <w:rsid w:val="00854D05"/>
    <w:rsid w:val="00855720"/>
    <w:rsid w:val="0085752B"/>
    <w:rsid w:val="00860462"/>
    <w:rsid w:val="00860EA8"/>
    <w:rsid w:val="00861498"/>
    <w:rsid w:val="00862139"/>
    <w:rsid w:val="0086226C"/>
    <w:rsid w:val="008645BC"/>
    <w:rsid w:val="00864803"/>
    <w:rsid w:val="00871231"/>
    <w:rsid w:val="0087202E"/>
    <w:rsid w:val="00872AC9"/>
    <w:rsid w:val="00874F73"/>
    <w:rsid w:val="00876A16"/>
    <w:rsid w:val="00880757"/>
    <w:rsid w:val="008810E3"/>
    <w:rsid w:val="0088654E"/>
    <w:rsid w:val="00891B13"/>
    <w:rsid w:val="008924F6"/>
    <w:rsid w:val="00892674"/>
    <w:rsid w:val="00893B9D"/>
    <w:rsid w:val="008946B4"/>
    <w:rsid w:val="0089578F"/>
    <w:rsid w:val="00897C5A"/>
    <w:rsid w:val="00897FD1"/>
    <w:rsid w:val="008A152A"/>
    <w:rsid w:val="008A26FD"/>
    <w:rsid w:val="008A492A"/>
    <w:rsid w:val="008A51FB"/>
    <w:rsid w:val="008A663C"/>
    <w:rsid w:val="008A6AB8"/>
    <w:rsid w:val="008A7BCB"/>
    <w:rsid w:val="008A7D4E"/>
    <w:rsid w:val="008B1189"/>
    <w:rsid w:val="008B11E1"/>
    <w:rsid w:val="008B349D"/>
    <w:rsid w:val="008B397B"/>
    <w:rsid w:val="008B46C7"/>
    <w:rsid w:val="008C0458"/>
    <w:rsid w:val="008C1C3C"/>
    <w:rsid w:val="008C2A13"/>
    <w:rsid w:val="008C43F8"/>
    <w:rsid w:val="008C56A1"/>
    <w:rsid w:val="008C5A27"/>
    <w:rsid w:val="008C66E9"/>
    <w:rsid w:val="008C6FBF"/>
    <w:rsid w:val="008C76DD"/>
    <w:rsid w:val="008D091F"/>
    <w:rsid w:val="008D0A68"/>
    <w:rsid w:val="008D334D"/>
    <w:rsid w:val="008D3DA8"/>
    <w:rsid w:val="008D50CE"/>
    <w:rsid w:val="008D52E5"/>
    <w:rsid w:val="008D5FCC"/>
    <w:rsid w:val="008D6CE8"/>
    <w:rsid w:val="008D7A41"/>
    <w:rsid w:val="008E053F"/>
    <w:rsid w:val="008E0E3C"/>
    <w:rsid w:val="008E1044"/>
    <w:rsid w:val="008E1472"/>
    <w:rsid w:val="008E1DC9"/>
    <w:rsid w:val="008E317E"/>
    <w:rsid w:val="008E4CD6"/>
    <w:rsid w:val="008E4E52"/>
    <w:rsid w:val="008E4F76"/>
    <w:rsid w:val="008E5DDC"/>
    <w:rsid w:val="008E643D"/>
    <w:rsid w:val="008E7A82"/>
    <w:rsid w:val="008F0805"/>
    <w:rsid w:val="008F3F8A"/>
    <w:rsid w:val="008F794D"/>
    <w:rsid w:val="00904254"/>
    <w:rsid w:val="009070CD"/>
    <w:rsid w:val="00911D82"/>
    <w:rsid w:val="00912561"/>
    <w:rsid w:val="0091294A"/>
    <w:rsid w:val="00916CFF"/>
    <w:rsid w:val="0092013D"/>
    <w:rsid w:val="009219AF"/>
    <w:rsid w:val="00924ABC"/>
    <w:rsid w:val="00924F11"/>
    <w:rsid w:val="00925382"/>
    <w:rsid w:val="00925857"/>
    <w:rsid w:val="009259BA"/>
    <w:rsid w:val="00927688"/>
    <w:rsid w:val="00932BB7"/>
    <w:rsid w:val="00933E87"/>
    <w:rsid w:val="00935284"/>
    <w:rsid w:val="00935EB5"/>
    <w:rsid w:val="00937B64"/>
    <w:rsid w:val="00937D98"/>
    <w:rsid w:val="009406CA"/>
    <w:rsid w:val="00944845"/>
    <w:rsid w:val="009448BC"/>
    <w:rsid w:val="009454B1"/>
    <w:rsid w:val="00947EBD"/>
    <w:rsid w:val="009548E7"/>
    <w:rsid w:val="00955CD9"/>
    <w:rsid w:val="00955FA3"/>
    <w:rsid w:val="00956058"/>
    <w:rsid w:val="00957BF4"/>
    <w:rsid w:val="00957C67"/>
    <w:rsid w:val="0096251D"/>
    <w:rsid w:val="00962646"/>
    <w:rsid w:val="00962845"/>
    <w:rsid w:val="00962987"/>
    <w:rsid w:val="00963A18"/>
    <w:rsid w:val="0096471E"/>
    <w:rsid w:val="009648D5"/>
    <w:rsid w:val="00964CF5"/>
    <w:rsid w:val="009673DC"/>
    <w:rsid w:val="009720D2"/>
    <w:rsid w:val="0097244E"/>
    <w:rsid w:val="00972453"/>
    <w:rsid w:val="009738E4"/>
    <w:rsid w:val="00973A11"/>
    <w:rsid w:val="00975D4C"/>
    <w:rsid w:val="00977BF9"/>
    <w:rsid w:val="0098132F"/>
    <w:rsid w:val="009815E3"/>
    <w:rsid w:val="0098175B"/>
    <w:rsid w:val="0098198B"/>
    <w:rsid w:val="009832CF"/>
    <w:rsid w:val="009840BD"/>
    <w:rsid w:val="009847E5"/>
    <w:rsid w:val="009905D1"/>
    <w:rsid w:val="00990CD0"/>
    <w:rsid w:val="009914B0"/>
    <w:rsid w:val="0099202B"/>
    <w:rsid w:val="0099260C"/>
    <w:rsid w:val="00992AFE"/>
    <w:rsid w:val="00992E66"/>
    <w:rsid w:val="00993366"/>
    <w:rsid w:val="00994305"/>
    <w:rsid w:val="00994EDE"/>
    <w:rsid w:val="00995EC8"/>
    <w:rsid w:val="009A193C"/>
    <w:rsid w:val="009A21CD"/>
    <w:rsid w:val="009A24B6"/>
    <w:rsid w:val="009A3690"/>
    <w:rsid w:val="009A4D65"/>
    <w:rsid w:val="009B0D20"/>
    <w:rsid w:val="009B337A"/>
    <w:rsid w:val="009B363E"/>
    <w:rsid w:val="009B3DE5"/>
    <w:rsid w:val="009B4DBE"/>
    <w:rsid w:val="009B5F39"/>
    <w:rsid w:val="009B62D6"/>
    <w:rsid w:val="009C01F4"/>
    <w:rsid w:val="009C23F1"/>
    <w:rsid w:val="009C35FC"/>
    <w:rsid w:val="009C40E3"/>
    <w:rsid w:val="009C4137"/>
    <w:rsid w:val="009C4562"/>
    <w:rsid w:val="009C4F26"/>
    <w:rsid w:val="009C59F1"/>
    <w:rsid w:val="009D21FC"/>
    <w:rsid w:val="009D5A67"/>
    <w:rsid w:val="009D5FE4"/>
    <w:rsid w:val="009E19D2"/>
    <w:rsid w:val="009E1BC3"/>
    <w:rsid w:val="009E22F2"/>
    <w:rsid w:val="009E327A"/>
    <w:rsid w:val="009E327C"/>
    <w:rsid w:val="009E3F3A"/>
    <w:rsid w:val="009E430D"/>
    <w:rsid w:val="009E514E"/>
    <w:rsid w:val="009E5216"/>
    <w:rsid w:val="009E664E"/>
    <w:rsid w:val="009E71D4"/>
    <w:rsid w:val="009E728A"/>
    <w:rsid w:val="009E72EB"/>
    <w:rsid w:val="009E7732"/>
    <w:rsid w:val="009E78CA"/>
    <w:rsid w:val="009F0869"/>
    <w:rsid w:val="009F13D1"/>
    <w:rsid w:val="009F16A7"/>
    <w:rsid w:val="009F1A84"/>
    <w:rsid w:val="009F29C7"/>
    <w:rsid w:val="009F2F09"/>
    <w:rsid w:val="009F4481"/>
    <w:rsid w:val="009F4CC9"/>
    <w:rsid w:val="009F5A4C"/>
    <w:rsid w:val="009F6B75"/>
    <w:rsid w:val="00A00181"/>
    <w:rsid w:val="00A01017"/>
    <w:rsid w:val="00A0139F"/>
    <w:rsid w:val="00A02579"/>
    <w:rsid w:val="00A03D66"/>
    <w:rsid w:val="00A04983"/>
    <w:rsid w:val="00A07853"/>
    <w:rsid w:val="00A079C1"/>
    <w:rsid w:val="00A07C4D"/>
    <w:rsid w:val="00A1019B"/>
    <w:rsid w:val="00A11F48"/>
    <w:rsid w:val="00A129B3"/>
    <w:rsid w:val="00A1320D"/>
    <w:rsid w:val="00A136E5"/>
    <w:rsid w:val="00A21844"/>
    <w:rsid w:val="00A22B9A"/>
    <w:rsid w:val="00A23CEE"/>
    <w:rsid w:val="00A241D8"/>
    <w:rsid w:val="00A26745"/>
    <w:rsid w:val="00A27075"/>
    <w:rsid w:val="00A27647"/>
    <w:rsid w:val="00A30247"/>
    <w:rsid w:val="00A3197D"/>
    <w:rsid w:val="00A31EF0"/>
    <w:rsid w:val="00A32708"/>
    <w:rsid w:val="00A329E9"/>
    <w:rsid w:val="00A349CB"/>
    <w:rsid w:val="00A34B7B"/>
    <w:rsid w:val="00A361F1"/>
    <w:rsid w:val="00A370A2"/>
    <w:rsid w:val="00A371D6"/>
    <w:rsid w:val="00A37898"/>
    <w:rsid w:val="00A40447"/>
    <w:rsid w:val="00A40D2A"/>
    <w:rsid w:val="00A41A30"/>
    <w:rsid w:val="00A433B1"/>
    <w:rsid w:val="00A43A36"/>
    <w:rsid w:val="00A45229"/>
    <w:rsid w:val="00A45EB5"/>
    <w:rsid w:val="00A46035"/>
    <w:rsid w:val="00A4729E"/>
    <w:rsid w:val="00A47D36"/>
    <w:rsid w:val="00A511C6"/>
    <w:rsid w:val="00A52CD8"/>
    <w:rsid w:val="00A54B72"/>
    <w:rsid w:val="00A54BFA"/>
    <w:rsid w:val="00A54E26"/>
    <w:rsid w:val="00A56E9E"/>
    <w:rsid w:val="00A57A7B"/>
    <w:rsid w:val="00A62DF6"/>
    <w:rsid w:val="00A62F01"/>
    <w:rsid w:val="00A6428F"/>
    <w:rsid w:val="00A65380"/>
    <w:rsid w:val="00A65605"/>
    <w:rsid w:val="00A70240"/>
    <w:rsid w:val="00A70631"/>
    <w:rsid w:val="00A7117E"/>
    <w:rsid w:val="00A7149B"/>
    <w:rsid w:val="00A715BF"/>
    <w:rsid w:val="00A71695"/>
    <w:rsid w:val="00A71E65"/>
    <w:rsid w:val="00A7301F"/>
    <w:rsid w:val="00A73A9A"/>
    <w:rsid w:val="00A74E4F"/>
    <w:rsid w:val="00A75E81"/>
    <w:rsid w:val="00A76195"/>
    <w:rsid w:val="00A80629"/>
    <w:rsid w:val="00A813E9"/>
    <w:rsid w:val="00A830F1"/>
    <w:rsid w:val="00A833E9"/>
    <w:rsid w:val="00A842DE"/>
    <w:rsid w:val="00A84BEB"/>
    <w:rsid w:val="00A869A3"/>
    <w:rsid w:val="00A86C9D"/>
    <w:rsid w:val="00A86F3A"/>
    <w:rsid w:val="00A872A5"/>
    <w:rsid w:val="00A9045A"/>
    <w:rsid w:val="00A9111F"/>
    <w:rsid w:val="00A91657"/>
    <w:rsid w:val="00A91B86"/>
    <w:rsid w:val="00A91CAC"/>
    <w:rsid w:val="00A91CE0"/>
    <w:rsid w:val="00A9280E"/>
    <w:rsid w:val="00A942D9"/>
    <w:rsid w:val="00A9488B"/>
    <w:rsid w:val="00A948C5"/>
    <w:rsid w:val="00A94B24"/>
    <w:rsid w:val="00A968CC"/>
    <w:rsid w:val="00A97572"/>
    <w:rsid w:val="00AA00D1"/>
    <w:rsid w:val="00AA0618"/>
    <w:rsid w:val="00AA3444"/>
    <w:rsid w:val="00AA4F70"/>
    <w:rsid w:val="00AA55F0"/>
    <w:rsid w:val="00AA713F"/>
    <w:rsid w:val="00AB2200"/>
    <w:rsid w:val="00AB3364"/>
    <w:rsid w:val="00AB4482"/>
    <w:rsid w:val="00AB656E"/>
    <w:rsid w:val="00AB6626"/>
    <w:rsid w:val="00AC0623"/>
    <w:rsid w:val="00AC280D"/>
    <w:rsid w:val="00AC5768"/>
    <w:rsid w:val="00AC721A"/>
    <w:rsid w:val="00AC7516"/>
    <w:rsid w:val="00AD09A8"/>
    <w:rsid w:val="00AD265E"/>
    <w:rsid w:val="00AD55CC"/>
    <w:rsid w:val="00AD67C9"/>
    <w:rsid w:val="00AD7137"/>
    <w:rsid w:val="00AD7816"/>
    <w:rsid w:val="00AD7D67"/>
    <w:rsid w:val="00AE0448"/>
    <w:rsid w:val="00AE05FC"/>
    <w:rsid w:val="00AE6DBA"/>
    <w:rsid w:val="00AF0674"/>
    <w:rsid w:val="00AF0F77"/>
    <w:rsid w:val="00AF488F"/>
    <w:rsid w:val="00AF516F"/>
    <w:rsid w:val="00AF68B9"/>
    <w:rsid w:val="00B00B06"/>
    <w:rsid w:val="00B00C9E"/>
    <w:rsid w:val="00B027E3"/>
    <w:rsid w:val="00B053AE"/>
    <w:rsid w:val="00B0700F"/>
    <w:rsid w:val="00B07635"/>
    <w:rsid w:val="00B10035"/>
    <w:rsid w:val="00B11384"/>
    <w:rsid w:val="00B12A26"/>
    <w:rsid w:val="00B13E1C"/>
    <w:rsid w:val="00B14BA5"/>
    <w:rsid w:val="00B159F9"/>
    <w:rsid w:val="00B1759C"/>
    <w:rsid w:val="00B179C6"/>
    <w:rsid w:val="00B20B99"/>
    <w:rsid w:val="00B21AFC"/>
    <w:rsid w:val="00B22000"/>
    <w:rsid w:val="00B23730"/>
    <w:rsid w:val="00B25DCE"/>
    <w:rsid w:val="00B25F3B"/>
    <w:rsid w:val="00B2688F"/>
    <w:rsid w:val="00B31F46"/>
    <w:rsid w:val="00B32E77"/>
    <w:rsid w:val="00B33B5D"/>
    <w:rsid w:val="00B34D57"/>
    <w:rsid w:val="00B34F08"/>
    <w:rsid w:val="00B354CD"/>
    <w:rsid w:val="00B35B7B"/>
    <w:rsid w:val="00B4264C"/>
    <w:rsid w:val="00B438A9"/>
    <w:rsid w:val="00B43CDB"/>
    <w:rsid w:val="00B4522C"/>
    <w:rsid w:val="00B45593"/>
    <w:rsid w:val="00B46120"/>
    <w:rsid w:val="00B4783B"/>
    <w:rsid w:val="00B479C6"/>
    <w:rsid w:val="00B513CF"/>
    <w:rsid w:val="00B523C4"/>
    <w:rsid w:val="00B54DE4"/>
    <w:rsid w:val="00B54F0A"/>
    <w:rsid w:val="00B55C51"/>
    <w:rsid w:val="00B56103"/>
    <w:rsid w:val="00B561A6"/>
    <w:rsid w:val="00B62641"/>
    <w:rsid w:val="00B629AA"/>
    <w:rsid w:val="00B634C4"/>
    <w:rsid w:val="00B64EC3"/>
    <w:rsid w:val="00B65616"/>
    <w:rsid w:val="00B664EE"/>
    <w:rsid w:val="00B701A8"/>
    <w:rsid w:val="00B7248D"/>
    <w:rsid w:val="00B72F27"/>
    <w:rsid w:val="00B731AC"/>
    <w:rsid w:val="00B73A66"/>
    <w:rsid w:val="00B73C18"/>
    <w:rsid w:val="00B74F31"/>
    <w:rsid w:val="00B7559C"/>
    <w:rsid w:val="00B7742B"/>
    <w:rsid w:val="00B774E8"/>
    <w:rsid w:val="00B8132A"/>
    <w:rsid w:val="00B826D9"/>
    <w:rsid w:val="00B83219"/>
    <w:rsid w:val="00B8427B"/>
    <w:rsid w:val="00B8434F"/>
    <w:rsid w:val="00B84D46"/>
    <w:rsid w:val="00B867C5"/>
    <w:rsid w:val="00B867D5"/>
    <w:rsid w:val="00B8731F"/>
    <w:rsid w:val="00B902B4"/>
    <w:rsid w:val="00B90574"/>
    <w:rsid w:val="00B90CA0"/>
    <w:rsid w:val="00B9130B"/>
    <w:rsid w:val="00B9399F"/>
    <w:rsid w:val="00B94492"/>
    <w:rsid w:val="00B97489"/>
    <w:rsid w:val="00BA07F6"/>
    <w:rsid w:val="00BA0F2D"/>
    <w:rsid w:val="00BA12D1"/>
    <w:rsid w:val="00BA19A8"/>
    <w:rsid w:val="00BA35D5"/>
    <w:rsid w:val="00BA3C1B"/>
    <w:rsid w:val="00BA51A2"/>
    <w:rsid w:val="00BA58DA"/>
    <w:rsid w:val="00BA7979"/>
    <w:rsid w:val="00BA7E28"/>
    <w:rsid w:val="00BB4A8A"/>
    <w:rsid w:val="00BB5296"/>
    <w:rsid w:val="00BB5459"/>
    <w:rsid w:val="00BB6D3F"/>
    <w:rsid w:val="00BB6F3B"/>
    <w:rsid w:val="00BC2E90"/>
    <w:rsid w:val="00BC4018"/>
    <w:rsid w:val="00BC4521"/>
    <w:rsid w:val="00BD0D31"/>
    <w:rsid w:val="00BD3C5F"/>
    <w:rsid w:val="00BD46F2"/>
    <w:rsid w:val="00BD5141"/>
    <w:rsid w:val="00BD588D"/>
    <w:rsid w:val="00BD5ACB"/>
    <w:rsid w:val="00BE0CAF"/>
    <w:rsid w:val="00BE0FBC"/>
    <w:rsid w:val="00BE2CC0"/>
    <w:rsid w:val="00BE6679"/>
    <w:rsid w:val="00BE6942"/>
    <w:rsid w:val="00BE704D"/>
    <w:rsid w:val="00BF00FA"/>
    <w:rsid w:val="00BF047B"/>
    <w:rsid w:val="00BF0D0D"/>
    <w:rsid w:val="00BF172E"/>
    <w:rsid w:val="00BF1AB8"/>
    <w:rsid w:val="00BF21A3"/>
    <w:rsid w:val="00BF4162"/>
    <w:rsid w:val="00BF41BB"/>
    <w:rsid w:val="00BF494E"/>
    <w:rsid w:val="00BF4D8E"/>
    <w:rsid w:val="00BF552E"/>
    <w:rsid w:val="00C034E6"/>
    <w:rsid w:val="00C03979"/>
    <w:rsid w:val="00C045CE"/>
    <w:rsid w:val="00C05220"/>
    <w:rsid w:val="00C06700"/>
    <w:rsid w:val="00C10932"/>
    <w:rsid w:val="00C11121"/>
    <w:rsid w:val="00C12386"/>
    <w:rsid w:val="00C123B0"/>
    <w:rsid w:val="00C143F7"/>
    <w:rsid w:val="00C14B3D"/>
    <w:rsid w:val="00C172B6"/>
    <w:rsid w:val="00C1761A"/>
    <w:rsid w:val="00C17B8C"/>
    <w:rsid w:val="00C20084"/>
    <w:rsid w:val="00C2041B"/>
    <w:rsid w:val="00C21B55"/>
    <w:rsid w:val="00C21FE4"/>
    <w:rsid w:val="00C22F04"/>
    <w:rsid w:val="00C22F11"/>
    <w:rsid w:val="00C23160"/>
    <w:rsid w:val="00C24211"/>
    <w:rsid w:val="00C243C6"/>
    <w:rsid w:val="00C25C99"/>
    <w:rsid w:val="00C260C3"/>
    <w:rsid w:val="00C264A9"/>
    <w:rsid w:val="00C26E49"/>
    <w:rsid w:val="00C278F9"/>
    <w:rsid w:val="00C30813"/>
    <w:rsid w:val="00C326EE"/>
    <w:rsid w:val="00C337A6"/>
    <w:rsid w:val="00C33DC9"/>
    <w:rsid w:val="00C34077"/>
    <w:rsid w:val="00C34330"/>
    <w:rsid w:val="00C417D5"/>
    <w:rsid w:val="00C42E79"/>
    <w:rsid w:val="00C44C6B"/>
    <w:rsid w:val="00C44F37"/>
    <w:rsid w:val="00C46DD9"/>
    <w:rsid w:val="00C46FD1"/>
    <w:rsid w:val="00C51018"/>
    <w:rsid w:val="00C522E3"/>
    <w:rsid w:val="00C52E23"/>
    <w:rsid w:val="00C532B4"/>
    <w:rsid w:val="00C53415"/>
    <w:rsid w:val="00C53B6E"/>
    <w:rsid w:val="00C558BC"/>
    <w:rsid w:val="00C563B8"/>
    <w:rsid w:val="00C56ECB"/>
    <w:rsid w:val="00C573BC"/>
    <w:rsid w:val="00C6016B"/>
    <w:rsid w:val="00C61520"/>
    <w:rsid w:val="00C61D4E"/>
    <w:rsid w:val="00C6360B"/>
    <w:rsid w:val="00C63F0E"/>
    <w:rsid w:val="00C66795"/>
    <w:rsid w:val="00C67494"/>
    <w:rsid w:val="00C7071B"/>
    <w:rsid w:val="00C70E80"/>
    <w:rsid w:val="00C71768"/>
    <w:rsid w:val="00C721CA"/>
    <w:rsid w:val="00C72756"/>
    <w:rsid w:val="00C72DA1"/>
    <w:rsid w:val="00C73844"/>
    <w:rsid w:val="00C7437B"/>
    <w:rsid w:val="00C74896"/>
    <w:rsid w:val="00C74F7D"/>
    <w:rsid w:val="00C7689A"/>
    <w:rsid w:val="00C8044A"/>
    <w:rsid w:val="00C83052"/>
    <w:rsid w:val="00C839AC"/>
    <w:rsid w:val="00C847B4"/>
    <w:rsid w:val="00C86B08"/>
    <w:rsid w:val="00C90929"/>
    <w:rsid w:val="00C91777"/>
    <w:rsid w:val="00C9325F"/>
    <w:rsid w:val="00C937FB"/>
    <w:rsid w:val="00C94B70"/>
    <w:rsid w:val="00CA087E"/>
    <w:rsid w:val="00CA2FF1"/>
    <w:rsid w:val="00CA56C9"/>
    <w:rsid w:val="00CA5D9C"/>
    <w:rsid w:val="00CA7BF1"/>
    <w:rsid w:val="00CB0A2E"/>
    <w:rsid w:val="00CB17AF"/>
    <w:rsid w:val="00CB1AF6"/>
    <w:rsid w:val="00CB1EBF"/>
    <w:rsid w:val="00CB2B19"/>
    <w:rsid w:val="00CB4692"/>
    <w:rsid w:val="00CB7153"/>
    <w:rsid w:val="00CB7DEF"/>
    <w:rsid w:val="00CC5E70"/>
    <w:rsid w:val="00CC6D7D"/>
    <w:rsid w:val="00CC6F4A"/>
    <w:rsid w:val="00CC6FFA"/>
    <w:rsid w:val="00CC7159"/>
    <w:rsid w:val="00CC7217"/>
    <w:rsid w:val="00CD0952"/>
    <w:rsid w:val="00CD0B3D"/>
    <w:rsid w:val="00CD22CE"/>
    <w:rsid w:val="00CD34F2"/>
    <w:rsid w:val="00CD4AA3"/>
    <w:rsid w:val="00CD6E7A"/>
    <w:rsid w:val="00CD71B6"/>
    <w:rsid w:val="00CD7F27"/>
    <w:rsid w:val="00CE16A1"/>
    <w:rsid w:val="00CE229A"/>
    <w:rsid w:val="00CE2E04"/>
    <w:rsid w:val="00CE522B"/>
    <w:rsid w:val="00CE5FC4"/>
    <w:rsid w:val="00CE6E1F"/>
    <w:rsid w:val="00CE7048"/>
    <w:rsid w:val="00CF009B"/>
    <w:rsid w:val="00CF190C"/>
    <w:rsid w:val="00CF2EC2"/>
    <w:rsid w:val="00CF57C6"/>
    <w:rsid w:val="00CF6F5B"/>
    <w:rsid w:val="00CF7EDD"/>
    <w:rsid w:val="00CF7F94"/>
    <w:rsid w:val="00D01FC4"/>
    <w:rsid w:val="00D0210C"/>
    <w:rsid w:val="00D0594F"/>
    <w:rsid w:val="00D064BE"/>
    <w:rsid w:val="00D07DFE"/>
    <w:rsid w:val="00D111F3"/>
    <w:rsid w:val="00D135CE"/>
    <w:rsid w:val="00D144F2"/>
    <w:rsid w:val="00D14651"/>
    <w:rsid w:val="00D14E28"/>
    <w:rsid w:val="00D1680E"/>
    <w:rsid w:val="00D16FE3"/>
    <w:rsid w:val="00D174CD"/>
    <w:rsid w:val="00D17FD3"/>
    <w:rsid w:val="00D21702"/>
    <w:rsid w:val="00D217A8"/>
    <w:rsid w:val="00D22167"/>
    <w:rsid w:val="00D22D59"/>
    <w:rsid w:val="00D230F5"/>
    <w:rsid w:val="00D25F27"/>
    <w:rsid w:val="00D27CD4"/>
    <w:rsid w:val="00D300D9"/>
    <w:rsid w:val="00D35AB1"/>
    <w:rsid w:val="00D367C6"/>
    <w:rsid w:val="00D37508"/>
    <w:rsid w:val="00D37E82"/>
    <w:rsid w:val="00D41593"/>
    <w:rsid w:val="00D430AC"/>
    <w:rsid w:val="00D436C5"/>
    <w:rsid w:val="00D45006"/>
    <w:rsid w:val="00D4528A"/>
    <w:rsid w:val="00D452A9"/>
    <w:rsid w:val="00D45335"/>
    <w:rsid w:val="00D45A77"/>
    <w:rsid w:val="00D4620B"/>
    <w:rsid w:val="00D46B6B"/>
    <w:rsid w:val="00D46D39"/>
    <w:rsid w:val="00D50F75"/>
    <w:rsid w:val="00D521AC"/>
    <w:rsid w:val="00D52793"/>
    <w:rsid w:val="00D53FA5"/>
    <w:rsid w:val="00D544C8"/>
    <w:rsid w:val="00D54DE2"/>
    <w:rsid w:val="00D55B52"/>
    <w:rsid w:val="00D56011"/>
    <w:rsid w:val="00D569B6"/>
    <w:rsid w:val="00D56B90"/>
    <w:rsid w:val="00D60054"/>
    <w:rsid w:val="00D60ABB"/>
    <w:rsid w:val="00D61349"/>
    <w:rsid w:val="00D617E6"/>
    <w:rsid w:val="00D625B0"/>
    <w:rsid w:val="00D63B05"/>
    <w:rsid w:val="00D65A83"/>
    <w:rsid w:val="00D65AAE"/>
    <w:rsid w:val="00D65E4C"/>
    <w:rsid w:val="00D65F16"/>
    <w:rsid w:val="00D67E87"/>
    <w:rsid w:val="00D7336F"/>
    <w:rsid w:val="00D73AC6"/>
    <w:rsid w:val="00D74F73"/>
    <w:rsid w:val="00D7661A"/>
    <w:rsid w:val="00D77D73"/>
    <w:rsid w:val="00D8053A"/>
    <w:rsid w:val="00D80714"/>
    <w:rsid w:val="00D80EB2"/>
    <w:rsid w:val="00D815D4"/>
    <w:rsid w:val="00D818DC"/>
    <w:rsid w:val="00D82271"/>
    <w:rsid w:val="00D8468D"/>
    <w:rsid w:val="00D85987"/>
    <w:rsid w:val="00D8638D"/>
    <w:rsid w:val="00D90A80"/>
    <w:rsid w:val="00D92410"/>
    <w:rsid w:val="00D94639"/>
    <w:rsid w:val="00D979F3"/>
    <w:rsid w:val="00D97DA2"/>
    <w:rsid w:val="00DA1714"/>
    <w:rsid w:val="00DA1AD2"/>
    <w:rsid w:val="00DA1D86"/>
    <w:rsid w:val="00DA26C8"/>
    <w:rsid w:val="00DA44E8"/>
    <w:rsid w:val="00DA5267"/>
    <w:rsid w:val="00DA57AF"/>
    <w:rsid w:val="00DA7722"/>
    <w:rsid w:val="00DB04F5"/>
    <w:rsid w:val="00DB1591"/>
    <w:rsid w:val="00DB1E75"/>
    <w:rsid w:val="00DB2E43"/>
    <w:rsid w:val="00DB3CCC"/>
    <w:rsid w:val="00DB4E22"/>
    <w:rsid w:val="00DB6143"/>
    <w:rsid w:val="00DC0781"/>
    <w:rsid w:val="00DC0BC3"/>
    <w:rsid w:val="00DC25F4"/>
    <w:rsid w:val="00DC4401"/>
    <w:rsid w:val="00DC4831"/>
    <w:rsid w:val="00DC4E06"/>
    <w:rsid w:val="00DC6696"/>
    <w:rsid w:val="00DC6A0B"/>
    <w:rsid w:val="00DC74BA"/>
    <w:rsid w:val="00DC7667"/>
    <w:rsid w:val="00DD05FB"/>
    <w:rsid w:val="00DD0B76"/>
    <w:rsid w:val="00DD4836"/>
    <w:rsid w:val="00DD7409"/>
    <w:rsid w:val="00DD7E1A"/>
    <w:rsid w:val="00DE1DA3"/>
    <w:rsid w:val="00DE2973"/>
    <w:rsid w:val="00DE361B"/>
    <w:rsid w:val="00DE6D8A"/>
    <w:rsid w:val="00DE7ACC"/>
    <w:rsid w:val="00DF1B5D"/>
    <w:rsid w:val="00DF1BFD"/>
    <w:rsid w:val="00DF1F3E"/>
    <w:rsid w:val="00DF2497"/>
    <w:rsid w:val="00DF393B"/>
    <w:rsid w:val="00DF3A36"/>
    <w:rsid w:val="00DF3B56"/>
    <w:rsid w:val="00DF406F"/>
    <w:rsid w:val="00DF4332"/>
    <w:rsid w:val="00DF4D4B"/>
    <w:rsid w:val="00DF5D10"/>
    <w:rsid w:val="00DF5E71"/>
    <w:rsid w:val="00DF6090"/>
    <w:rsid w:val="00E00CF7"/>
    <w:rsid w:val="00E02383"/>
    <w:rsid w:val="00E04126"/>
    <w:rsid w:val="00E04428"/>
    <w:rsid w:val="00E07E7F"/>
    <w:rsid w:val="00E10315"/>
    <w:rsid w:val="00E10981"/>
    <w:rsid w:val="00E10A2D"/>
    <w:rsid w:val="00E118E2"/>
    <w:rsid w:val="00E11BAF"/>
    <w:rsid w:val="00E13FF8"/>
    <w:rsid w:val="00E14EB4"/>
    <w:rsid w:val="00E1542F"/>
    <w:rsid w:val="00E234B5"/>
    <w:rsid w:val="00E237EA"/>
    <w:rsid w:val="00E2469A"/>
    <w:rsid w:val="00E253E9"/>
    <w:rsid w:val="00E26506"/>
    <w:rsid w:val="00E27158"/>
    <w:rsid w:val="00E30281"/>
    <w:rsid w:val="00E302A8"/>
    <w:rsid w:val="00E31297"/>
    <w:rsid w:val="00E324D3"/>
    <w:rsid w:val="00E327B8"/>
    <w:rsid w:val="00E35A6E"/>
    <w:rsid w:val="00E3638B"/>
    <w:rsid w:val="00E36E43"/>
    <w:rsid w:val="00E37392"/>
    <w:rsid w:val="00E40D23"/>
    <w:rsid w:val="00E429F9"/>
    <w:rsid w:val="00E431EB"/>
    <w:rsid w:val="00E43336"/>
    <w:rsid w:val="00E45302"/>
    <w:rsid w:val="00E46E46"/>
    <w:rsid w:val="00E470A0"/>
    <w:rsid w:val="00E50098"/>
    <w:rsid w:val="00E5318D"/>
    <w:rsid w:val="00E57E99"/>
    <w:rsid w:val="00E603FB"/>
    <w:rsid w:val="00E60F4F"/>
    <w:rsid w:val="00E627A8"/>
    <w:rsid w:val="00E62A3E"/>
    <w:rsid w:val="00E65678"/>
    <w:rsid w:val="00E669C1"/>
    <w:rsid w:val="00E71B31"/>
    <w:rsid w:val="00E71F1D"/>
    <w:rsid w:val="00E74666"/>
    <w:rsid w:val="00E75221"/>
    <w:rsid w:val="00E77AEF"/>
    <w:rsid w:val="00E81DFE"/>
    <w:rsid w:val="00E83065"/>
    <w:rsid w:val="00E83372"/>
    <w:rsid w:val="00E84174"/>
    <w:rsid w:val="00E84C1A"/>
    <w:rsid w:val="00E86D5C"/>
    <w:rsid w:val="00E87147"/>
    <w:rsid w:val="00E91F41"/>
    <w:rsid w:val="00E91F8F"/>
    <w:rsid w:val="00E920F1"/>
    <w:rsid w:val="00E93823"/>
    <w:rsid w:val="00E93DCD"/>
    <w:rsid w:val="00E9423C"/>
    <w:rsid w:val="00E9443C"/>
    <w:rsid w:val="00E94A77"/>
    <w:rsid w:val="00E958B1"/>
    <w:rsid w:val="00E95A9F"/>
    <w:rsid w:val="00E95D53"/>
    <w:rsid w:val="00E97017"/>
    <w:rsid w:val="00EA0AD2"/>
    <w:rsid w:val="00EA1CE0"/>
    <w:rsid w:val="00EA21AE"/>
    <w:rsid w:val="00EA67FA"/>
    <w:rsid w:val="00EA69B4"/>
    <w:rsid w:val="00EB01B9"/>
    <w:rsid w:val="00EB03D9"/>
    <w:rsid w:val="00EB1C51"/>
    <w:rsid w:val="00EB347C"/>
    <w:rsid w:val="00EB56AB"/>
    <w:rsid w:val="00EB7775"/>
    <w:rsid w:val="00EB7B14"/>
    <w:rsid w:val="00EC03EF"/>
    <w:rsid w:val="00EC1996"/>
    <w:rsid w:val="00EC1B91"/>
    <w:rsid w:val="00EC2619"/>
    <w:rsid w:val="00EC4E40"/>
    <w:rsid w:val="00EC622A"/>
    <w:rsid w:val="00EC772D"/>
    <w:rsid w:val="00ED0F25"/>
    <w:rsid w:val="00ED2893"/>
    <w:rsid w:val="00ED2A26"/>
    <w:rsid w:val="00ED3337"/>
    <w:rsid w:val="00ED576E"/>
    <w:rsid w:val="00EE0E41"/>
    <w:rsid w:val="00EE1563"/>
    <w:rsid w:val="00EE3270"/>
    <w:rsid w:val="00EE6438"/>
    <w:rsid w:val="00EE75D2"/>
    <w:rsid w:val="00EF0C06"/>
    <w:rsid w:val="00EF1854"/>
    <w:rsid w:val="00EF4783"/>
    <w:rsid w:val="00EF4DD4"/>
    <w:rsid w:val="00EF5337"/>
    <w:rsid w:val="00EF671E"/>
    <w:rsid w:val="00EF6BA5"/>
    <w:rsid w:val="00EF6FD6"/>
    <w:rsid w:val="00EF71BE"/>
    <w:rsid w:val="00EF7ADA"/>
    <w:rsid w:val="00F00B6E"/>
    <w:rsid w:val="00F0299C"/>
    <w:rsid w:val="00F02A3B"/>
    <w:rsid w:val="00F03B7F"/>
    <w:rsid w:val="00F04151"/>
    <w:rsid w:val="00F05A83"/>
    <w:rsid w:val="00F062E9"/>
    <w:rsid w:val="00F06AE3"/>
    <w:rsid w:val="00F077DD"/>
    <w:rsid w:val="00F078C4"/>
    <w:rsid w:val="00F114C9"/>
    <w:rsid w:val="00F13945"/>
    <w:rsid w:val="00F144D2"/>
    <w:rsid w:val="00F16D65"/>
    <w:rsid w:val="00F16DF2"/>
    <w:rsid w:val="00F212EE"/>
    <w:rsid w:val="00F22E00"/>
    <w:rsid w:val="00F233BB"/>
    <w:rsid w:val="00F2386E"/>
    <w:rsid w:val="00F239CB"/>
    <w:rsid w:val="00F24C00"/>
    <w:rsid w:val="00F24ED0"/>
    <w:rsid w:val="00F25267"/>
    <w:rsid w:val="00F26B07"/>
    <w:rsid w:val="00F3107C"/>
    <w:rsid w:val="00F31A5E"/>
    <w:rsid w:val="00F35B6E"/>
    <w:rsid w:val="00F40915"/>
    <w:rsid w:val="00F41608"/>
    <w:rsid w:val="00F418CD"/>
    <w:rsid w:val="00F419A4"/>
    <w:rsid w:val="00F43C45"/>
    <w:rsid w:val="00F46569"/>
    <w:rsid w:val="00F517BE"/>
    <w:rsid w:val="00F5299C"/>
    <w:rsid w:val="00F53514"/>
    <w:rsid w:val="00F54C5D"/>
    <w:rsid w:val="00F5502B"/>
    <w:rsid w:val="00F603A6"/>
    <w:rsid w:val="00F62248"/>
    <w:rsid w:val="00F63F0E"/>
    <w:rsid w:val="00F6640C"/>
    <w:rsid w:val="00F70488"/>
    <w:rsid w:val="00F70ABF"/>
    <w:rsid w:val="00F70F8C"/>
    <w:rsid w:val="00F7139F"/>
    <w:rsid w:val="00F7207D"/>
    <w:rsid w:val="00F7299B"/>
    <w:rsid w:val="00F73F29"/>
    <w:rsid w:val="00F75455"/>
    <w:rsid w:val="00F75C39"/>
    <w:rsid w:val="00F75C91"/>
    <w:rsid w:val="00F77B52"/>
    <w:rsid w:val="00F77CC3"/>
    <w:rsid w:val="00F8080B"/>
    <w:rsid w:val="00F810BE"/>
    <w:rsid w:val="00F82F2B"/>
    <w:rsid w:val="00F838C6"/>
    <w:rsid w:val="00F8489A"/>
    <w:rsid w:val="00F87F3D"/>
    <w:rsid w:val="00F90EB1"/>
    <w:rsid w:val="00F91C27"/>
    <w:rsid w:val="00F92097"/>
    <w:rsid w:val="00F93384"/>
    <w:rsid w:val="00F95A06"/>
    <w:rsid w:val="00F971F4"/>
    <w:rsid w:val="00F97284"/>
    <w:rsid w:val="00FA0024"/>
    <w:rsid w:val="00FA0ADE"/>
    <w:rsid w:val="00FA4F55"/>
    <w:rsid w:val="00FA5408"/>
    <w:rsid w:val="00FA6177"/>
    <w:rsid w:val="00FA7401"/>
    <w:rsid w:val="00FB08AB"/>
    <w:rsid w:val="00FB0CDD"/>
    <w:rsid w:val="00FB24BE"/>
    <w:rsid w:val="00FB3C38"/>
    <w:rsid w:val="00FB46A2"/>
    <w:rsid w:val="00FB4950"/>
    <w:rsid w:val="00FB4F3B"/>
    <w:rsid w:val="00FB5A3B"/>
    <w:rsid w:val="00FB5FA8"/>
    <w:rsid w:val="00FB705E"/>
    <w:rsid w:val="00FB7C74"/>
    <w:rsid w:val="00FC18FF"/>
    <w:rsid w:val="00FC32FC"/>
    <w:rsid w:val="00FC472C"/>
    <w:rsid w:val="00FC4739"/>
    <w:rsid w:val="00FC4E2F"/>
    <w:rsid w:val="00FC605E"/>
    <w:rsid w:val="00FD0595"/>
    <w:rsid w:val="00FD4B75"/>
    <w:rsid w:val="00FD4BF5"/>
    <w:rsid w:val="00FD695A"/>
    <w:rsid w:val="00FD79DC"/>
    <w:rsid w:val="00FD7C03"/>
    <w:rsid w:val="00FE04C7"/>
    <w:rsid w:val="00FE07F5"/>
    <w:rsid w:val="00FE320C"/>
    <w:rsid w:val="00FE39AE"/>
    <w:rsid w:val="00FE4A81"/>
    <w:rsid w:val="00FE5CE8"/>
    <w:rsid w:val="00FE5E53"/>
    <w:rsid w:val="00FE619E"/>
    <w:rsid w:val="00FE6217"/>
    <w:rsid w:val="00FE66AB"/>
    <w:rsid w:val="00FF1C6B"/>
    <w:rsid w:val="00FF4B8D"/>
    <w:rsid w:val="00FF55AA"/>
    <w:rsid w:val="00FF6B7C"/>
    <w:rsid w:val="00FF6D60"/>
    <w:rsid w:val="00FF71E0"/>
    <w:rsid w:val="00FF791E"/>
    <w:rsid w:val="30E53034"/>
  </w:rsids>
  <m:mathPr>
    <m:mathFont m:val="Cambria Math"/>
    <m:brkBin m:val="before"/>
    <m:brkBinSub m:val="--"/>
    <m:smallFrac m:val="1"/>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9" w:name="heading 6"/>
    <w:lsdException w:qFormat="1" w:unhideWhenUsed="0" w:uiPriority="9" w:semiHidden="0" w:name="heading 7"/>
    <w:lsdException w:qFormat="1" w:uiPriority="9" w:name="heading 8"/>
    <w:lsdException w:qFormat="1" w:uiPriority="9" w:name="heading 9"/>
    <w:lsdException w:qFormat="1" w:unhideWhenUsed="0" w:uiPriority="99"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99" w:name="Normal Indent"/>
    <w:lsdException w:qFormat="1" w:unhideWhenUsed="0" w:uiPriority="99" w:name="footnote text"/>
    <w:lsdException w:qFormat="1" w:unhideWhenUsed="0" w:uiPriority="99" w:semiHidden="0" w:name="annotation text"/>
    <w:lsdException w:unhideWhenUsed="0" w:uiPriority="0" w:semiHidden="0" w:name="header"/>
    <w:lsdException w:unhideWhenUsed="0" w:uiPriority="99" w:semiHidden="0" w:name="footer"/>
    <w:lsdException w:qFormat="1" w:unhideWhenUsed="0" w:uiPriority="99" w:semiHidden="0" w:name="index heading"/>
    <w:lsdException w:qFormat="1" w:uiPriority="35" w:name="caption"/>
    <w:lsdException w:qFormat="1" w:unhideWhenUsed="0" w:uiPriority="99" w:semiHidden="0"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uiPriority="1" w:name="Default Paragraph Font"/>
    <w:lsdException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0" w:name="Table Classic 1"/>
    <w:lsdException w:uiPriority="99" w:name="Table Classic 2"/>
    <w:lsdException w:uiPriority="0"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0" w:name="Balloon Text"/>
    <w:lsdException w:qFormat="1" w:unhideWhenUsed="0" w:uiPriority="0" w:semiHidden="0" w:name="Table Grid"/>
    <w:lsdException w:uiPriority="99" w:name="Table Theme"/>
    <w:lsdException w:qFormat="1" w:unhideWhenUsed="0" w:uiPriority="34" w:semiHidden="0" w:name="List Paragraph"/>
    <w:lsdException w:qFormat="1" w:unhideWhenUsed="0" w:uiPriority="30" w:semiHidden="0" w:name="Intense Quote"/>
  </w:latentStyles>
  <w:style w:type="paragraph" w:default="1" w:styleId="1">
    <w:name w:val="Normal"/>
    <w:qFormat/>
    <w:uiPriority w:val="0"/>
    <w:pPr>
      <w:spacing w:after="0" w:line="240" w:lineRule="auto"/>
      <w:jc w:val="both"/>
    </w:pPr>
    <w:rPr>
      <w:rFonts w:ascii="Arial" w:hAnsi="Arial" w:eastAsia="Times New Roman" w:cs="Times New Roman"/>
      <w:sz w:val="24"/>
      <w:szCs w:val="24"/>
      <w:lang w:val="es-CO" w:eastAsia="es-ES" w:bidi="ar-SA"/>
    </w:rPr>
  </w:style>
  <w:style w:type="paragraph" w:styleId="2">
    <w:name w:val="heading 1"/>
    <w:basedOn w:val="1"/>
    <w:next w:val="1"/>
    <w:link w:val="51"/>
    <w:qFormat/>
    <w:uiPriority w:val="0"/>
    <w:pPr>
      <w:keepNext/>
      <w:spacing w:before="240" w:after="60"/>
      <w:outlineLvl w:val="0"/>
    </w:pPr>
    <w:rPr>
      <w:rFonts w:cs="Arial"/>
      <w:b/>
      <w:bCs/>
      <w:kern w:val="32"/>
      <w:szCs w:val="32"/>
    </w:rPr>
  </w:style>
  <w:style w:type="paragraph" w:styleId="3">
    <w:name w:val="heading 2"/>
    <w:basedOn w:val="1"/>
    <w:next w:val="1"/>
    <w:link w:val="52"/>
    <w:qFormat/>
    <w:uiPriority w:val="0"/>
    <w:pPr>
      <w:keepNext/>
      <w:spacing w:before="240" w:after="60"/>
      <w:outlineLvl w:val="1"/>
    </w:pPr>
    <w:rPr>
      <w:rFonts w:cs="Arial"/>
      <w:b/>
      <w:bCs/>
      <w:iCs/>
      <w:szCs w:val="28"/>
    </w:rPr>
  </w:style>
  <w:style w:type="paragraph" w:styleId="4">
    <w:name w:val="heading 3"/>
    <w:basedOn w:val="1"/>
    <w:next w:val="1"/>
    <w:link w:val="53"/>
    <w:qFormat/>
    <w:uiPriority w:val="0"/>
    <w:pPr>
      <w:keepNext/>
      <w:spacing w:before="240" w:after="60"/>
      <w:outlineLvl w:val="2"/>
    </w:pPr>
    <w:rPr>
      <w:rFonts w:cs="Arial"/>
      <w:b/>
      <w:bCs/>
      <w:szCs w:val="26"/>
    </w:rPr>
  </w:style>
  <w:style w:type="paragraph" w:styleId="5">
    <w:name w:val="heading 4"/>
    <w:basedOn w:val="1"/>
    <w:next w:val="1"/>
    <w:link w:val="54"/>
    <w:qFormat/>
    <w:uiPriority w:val="0"/>
    <w:pPr>
      <w:keepNext/>
      <w:spacing w:before="240" w:after="60"/>
      <w:outlineLvl w:val="3"/>
    </w:pPr>
    <w:rPr>
      <w:b/>
      <w:bCs/>
      <w:szCs w:val="28"/>
    </w:rPr>
  </w:style>
  <w:style w:type="paragraph" w:styleId="6">
    <w:name w:val="heading 5"/>
    <w:basedOn w:val="1"/>
    <w:next w:val="1"/>
    <w:link w:val="55"/>
    <w:qFormat/>
    <w:uiPriority w:val="0"/>
    <w:pPr>
      <w:spacing w:before="240" w:after="60"/>
      <w:outlineLvl w:val="4"/>
    </w:pPr>
    <w:rPr>
      <w:b/>
      <w:bCs/>
      <w:iCs/>
      <w:szCs w:val="26"/>
    </w:rPr>
  </w:style>
  <w:style w:type="paragraph" w:styleId="7">
    <w:name w:val="heading 7"/>
    <w:basedOn w:val="1"/>
    <w:next w:val="1"/>
    <w:link w:val="56"/>
    <w:qFormat/>
    <w:uiPriority w:val="9"/>
    <w:pPr>
      <w:spacing w:before="240" w:after="60"/>
      <w:ind w:left="357" w:hanging="357"/>
      <w:outlineLvl w:val="6"/>
    </w:pPr>
    <w:rPr>
      <w:rFonts w:ascii="Calibri" w:hAnsi="Calibri"/>
      <w:lang w:eastAsia="en-US"/>
    </w:rPr>
  </w:style>
  <w:style w:type="character" w:default="1" w:styleId="8">
    <w:name w:val="Default Paragraph Font"/>
    <w:semiHidden/>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character" w:styleId="10">
    <w:name w:val="annotation reference"/>
    <w:qFormat/>
    <w:uiPriority w:val="0"/>
    <w:rPr>
      <w:sz w:val="16"/>
      <w:szCs w:val="16"/>
    </w:rPr>
  </w:style>
  <w:style w:type="character" w:styleId="11">
    <w:name w:val="Emphasis"/>
    <w:qFormat/>
    <w:uiPriority w:val="20"/>
    <w:rPr>
      <w:i/>
      <w:iCs/>
    </w:rPr>
  </w:style>
  <w:style w:type="character" w:styleId="12">
    <w:name w:val="Hyperlink"/>
    <w:qFormat/>
    <w:uiPriority w:val="99"/>
    <w:rPr>
      <w:color w:val="0000FF"/>
      <w:u w:val="single"/>
    </w:rPr>
  </w:style>
  <w:style w:type="character" w:styleId="13">
    <w:name w:val="FollowedHyperlink"/>
    <w:qFormat/>
    <w:uiPriority w:val="99"/>
    <w:rPr>
      <w:color w:val="0000FF"/>
      <w:u w:val="single"/>
    </w:rPr>
  </w:style>
  <w:style w:type="character" w:styleId="14">
    <w:name w:val="Strong"/>
    <w:qFormat/>
    <w:uiPriority w:val="22"/>
    <w:rPr>
      <w:b/>
      <w:bCs/>
    </w:rPr>
  </w:style>
  <w:style w:type="paragraph" w:styleId="15">
    <w:name w:val="index 1"/>
    <w:basedOn w:val="1"/>
    <w:next w:val="1"/>
    <w:autoRedefine/>
    <w:qFormat/>
    <w:uiPriority w:val="99"/>
    <w:pPr>
      <w:ind w:left="240" w:hanging="240"/>
      <w:jc w:val="left"/>
    </w:pPr>
    <w:rPr>
      <w:rFonts w:ascii="Calibri" w:hAnsi="Calibri"/>
      <w:sz w:val="18"/>
      <w:szCs w:val="18"/>
    </w:rPr>
  </w:style>
  <w:style w:type="paragraph" w:styleId="16">
    <w:name w:val="toc 3"/>
    <w:basedOn w:val="1"/>
    <w:next w:val="1"/>
    <w:autoRedefine/>
    <w:qFormat/>
    <w:uiPriority w:val="39"/>
    <w:pPr>
      <w:tabs>
        <w:tab w:val="left" w:pos="960"/>
        <w:tab w:val="right" w:pos="8494"/>
      </w:tabs>
      <w:ind w:left="240"/>
    </w:pPr>
    <w:rPr>
      <w:sz w:val="20"/>
      <w:szCs w:val="20"/>
    </w:rPr>
  </w:style>
  <w:style w:type="paragraph" w:styleId="17">
    <w:name w:val="index 7"/>
    <w:basedOn w:val="1"/>
    <w:next w:val="1"/>
    <w:autoRedefine/>
    <w:qFormat/>
    <w:uiPriority w:val="0"/>
    <w:pPr>
      <w:ind w:left="1680" w:hanging="240"/>
      <w:jc w:val="left"/>
    </w:pPr>
    <w:rPr>
      <w:rFonts w:ascii="Calibri" w:hAnsi="Calibri"/>
      <w:sz w:val="18"/>
      <w:szCs w:val="18"/>
    </w:rPr>
  </w:style>
  <w:style w:type="paragraph" w:styleId="18">
    <w:name w:val="footnote text"/>
    <w:basedOn w:val="1"/>
    <w:link w:val="72"/>
    <w:semiHidden/>
    <w:qFormat/>
    <w:uiPriority w:val="99"/>
    <w:rPr>
      <w:sz w:val="20"/>
      <w:szCs w:val="20"/>
      <w:lang w:val="es-ES"/>
    </w:rPr>
  </w:style>
  <w:style w:type="paragraph" w:styleId="19">
    <w:name w:val="toc 9"/>
    <w:basedOn w:val="1"/>
    <w:next w:val="1"/>
    <w:autoRedefine/>
    <w:qFormat/>
    <w:uiPriority w:val="39"/>
    <w:pPr>
      <w:ind w:left="1680"/>
    </w:pPr>
    <w:rPr>
      <w:sz w:val="20"/>
      <w:szCs w:val="20"/>
    </w:rPr>
  </w:style>
  <w:style w:type="paragraph" w:styleId="20">
    <w:name w:val="toc 7"/>
    <w:basedOn w:val="1"/>
    <w:next w:val="1"/>
    <w:autoRedefine/>
    <w:qFormat/>
    <w:uiPriority w:val="39"/>
    <w:pPr>
      <w:ind w:left="1200"/>
    </w:pPr>
    <w:rPr>
      <w:sz w:val="20"/>
      <w:szCs w:val="20"/>
    </w:rPr>
  </w:style>
  <w:style w:type="paragraph" w:styleId="21">
    <w:name w:val="toc 1"/>
    <w:basedOn w:val="1"/>
    <w:next w:val="1"/>
    <w:autoRedefine/>
    <w:qFormat/>
    <w:uiPriority w:val="39"/>
    <w:pPr>
      <w:tabs>
        <w:tab w:val="left" w:pos="709"/>
        <w:tab w:val="left" w:pos="1701"/>
        <w:tab w:val="right" w:leader="dot" w:pos="8494"/>
      </w:tabs>
      <w:ind w:left="1701" w:hanging="1701"/>
    </w:pPr>
    <w:rPr>
      <w:rFonts w:cs="Arial"/>
      <w:bCs/>
      <w:sz w:val="20"/>
    </w:rPr>
  </w:style>
  <w:style w:type="paragraph" w:styleId="22">
    <w:name w:val="index 4"/>
    <w:basedOn w:val="1"/>
    <w:next w:val="1"/>
    <w:autoRedefine/>
    <w:qFormat/>
    <w:uiPriority w:val="0"/>
    <w:pPr>
      <w:ind w:left="960" w:hanging="240"/>
      <w:jc w:val="left"/>
    </w:pPr>
    <w:rPr>
      <w:rFonts w:ascii="Calibri" w:hAnsi="Calibri"/>
      <w:sz w:val="18"/>
      <w:szCs w:val="18"/>
    </w:rPr>
  </w:style>
  <w:style w:type="paragraph" w:styleId="23">
    <w:name w:val="toc 8"/>
    <w:basedOn w:val="1"/>
    <w:next w:val="1"/>
    <w:autoRedefine/>
    <w:qFormat/>
    <w:uiPriority w:val="39"/>
    <w:pPr>
      <w:ind w:left="1440"/>
    </w:pPr>
    <w:rPr>
      <w:sz w:val="20"/>
      <w:szCs w:val="20"/>
    </w:rPr>
  </w:style>
  <w:style w:type="paragraph" w:styleId="24">
    <w:name w:val="toc 2"/>
    <w:basedOn w:val="1"/>
    <w:next w:val="1"/>
    <w:autoRedefine/>
    <w:qFormat/>
    <w:uiPriority w:val="39"/>
    <w:pPr>
      <w:tabs>
        <w:tab w:val="left" w:pos="709"/>
        <w:tab w:val="right" w:leader="dot" w:pos="8494"/>
      </w:tabs>
      <w:ind w:left="709" w:hanging="709"/>
    </w:pPr>
    <w:rPr>
      <w:b/>
      <w:bCs/>
      <w:sz w:val="20"/>
      <w:szCs w:val="20"/>
    </w:rPr>
  </w:style>
  <w:style w:type="paragraph" w:styleId="25">
    <w:name w:val="index 3"/>
    <w:basedOn w:val="1"/>
    <w:next w:val="1"/>
    <w:autoRedefine/>
    <w:qFormat/>
    <w:uiPriority w:val="0"/>
    <w:pPr>
      <w:ind w:left="720" w:hanging="240"/>
      <w:jc w:val="left"/>
    </w:pPr>
    <w:rPr>
      <w:rFonts w:ascii="Calibri" w:hAnsi="Calibri"/>
      <w:sz w:val="18"/>
      <w:szCs w:val="18"/>
    </w:rPr>
  </w:style>
  <w:style w:type="paragraph" w:styleId="26">
    <w:name w:val="index 8"/>
    <w:basedOn w:val="1"/>
    <w:next w:val="1"/>
    <w:autoRedefine/>
    <w:qFormat/>
    <w:uiPriority w:val="0"/>
    <w:pPr>
      <w:ind w:left="1920" w:hanging="240"/>
      <w:jc w:val="left"/>
    </w:pPr>
    <w:rPr>
      <w:rFonts w:ascii="Calibri" w:hAnsi="Calibri"/>
      <w:sz w:val="18"/>
      <w:szCs w:val="18"/>
    </w:rPr>
  </w:style>
  <w:style w:type="paragraph" w:styleId="27">
    <w:name w:val="index 5"/>
    <w:basedOn w:val="1"/>
    <w:next w:val="1"/>
    <w:autoRedefine/>
    <w:qFormat/>
    <w:uiPriority w:val="0"/>
    <w:pPr>
      <w:ind w:left="1200" w:hanging="240"/>
      <w:jc w:val="left"/>
    </w:pPr>
    <w:rPr>
      <w:rFonts w:ascii="Calibri" w:hAnsi="Calibri"/>
      <w:sz w:val="18"/>
      <w:szCs w:val="18"/>
    </w:rPr>
  </w:style>
  <w:style w:type="paragraph" w:styleId="28">
    <w:name w:val="index 2"/>
    <w:basedOn w:val="1"/>
    <w:next w:val="1"/>
    <w:autoRedefine/>
    <w:qFormat/>
    <w:uiPriority w:val="0"/>
    <w:pPr>
      <w:ind w:left="480" w:hanging="240"/>
      <w:jc w:val="left"/>
    </w:pPr>
    <w:rPr>
      <w:rFonts w:ascii="Calibri" w:hAnsi="Calibri"/>
      <w:sz w:val="18"/>
      <w:szCs w:val="18"/>
    </w:rPr>
  </w:style>
  <w:style w:type="paragraph" w:styleId="29">
    <w:name w:val="annotation subject"/>
    <w:basedOn w:val="30"/>
    <w:next w:val="30"/>
    <w:link w:val="76"/>
    <w:qFormat/>
    <w:uiPriority w:val="0"/>
    <w:rPr>
      <w:b/>
      <w:bCs/>
    </w:rPr>
  </w:style>
  <w:style w:type="paragraph" w:styleId="30">
    <w:name w:val="annotation text"/>
    <w:basedOn w:val="1"/>
    <w:link w:val="75"/>
    <w:qFormat/>
    <w:uiPriority w:val="99"/>
    <w:rPr>
      <w:sz w:val="20"/>
      <w:szCs w:val="20"/>
    </w:rPr>
  </w:style>
  <w:style w:type="paragraph" w:styleId="31">
    <w:name w:val="Balloon Text"/>
    <w:basedOn w:val="1"/>
    <w:link w:val="59"/>
    <w:semiHidden/>
    <w:uiPriority w:val="0"/>
    <w:rPr>
      <w:rFonts w:ascii="Tahoma" w:hAnsi="Tahoma" w:cs="Tahoma"/>
      <w:sz w:val="16"/>
      <w:szCs w:val="16"/>
    </w:rPr>
  </w:style>
  <w:style w:type="paragraph" w:styleId="32">
    <w:name w:val="toc 6"/>
    <w:basedOn w:val="1"/>
    <w:next w:val="1"/>
    <w:autoRedefine/>
    <w:qFormat/>
    <w:uiPriority w:val="39"/>
    <w:pPr>
      <w:ind w:left="960"/>
    </w:pPr>
    <w:rPr>
      <w:sz w:val="20"/>
      <w:szCs w:val="20"/>
    </w:rPr>
  </w:style>
  <w:style w:type="paragraph" w:styleId="33">
    <w:name w:val="toc 5"/>
    <w:basedOn w:val="1"/>
    <w:next w:val="1"/>
    <w:autoRedefine/>
    <w:qFormat/>
    <w:uiPriority w:val="39"/>
    <w:pPr>
      <w:ind w:left="720"/>
    </w:pPr>
    <w:rPr>
      <w:sz w:val="20"/>
      <w:szCs w:val="20"/>
    </w:rPr>
  </w:style>
  <w:style w:type="paragraph" w:styleId="34">
    <w:name w:val="table of figures"/>
    <w:basedOn w:val="1"/>
    <w:next w:val="1"/>
    <w:qFormat/>
    <w:uiPriority w:val="99"/>
  </w:style>
  <w:style w:type="paragraph" w:styleId="35">
    <w:name w:val="index 9"/>
    <w:basedOn w:val="1"/>
    <w:next w:val="1"/>
    <w:autoRedefine/>
    <w:qFormat/>
    <w:uiPriority w:val="0"/>
    <w:pPr>
      <w:ind w:left="2160" w:hanging="240"/>
      <w:jc w:val="left"/>
    </w:pPr>
    <w:rPr>
      <w:rFonts w:ascii="Calibri" w:hAnsi="Calibri"/>
      <w:sz w:val="18"/>
      <w:szCs w:val="18"/>
    </w:rPr>
  </w:style>
  <w:style w:type="paragraph" w:styleId="36">
    <w:name w:val="toc 4"/>
    <w:basedOn w:val="1"/>
    <w:next w:val="1"/>
    <w:autoRedefine/>
    <w:qFormat/>
    <w:uiPriority w:val="39"/>
    <w:pPr>
      <w:ind w:left="480"/>
    </w:pPr>
    <w:rPr>
      <w:sz w:val="20"/>
      <w:szCs w:val="20"/>
    </w:rPr>
  </w:style>
  <w:style w:type="paragraph" w:styleId="37">
    <w:name w:val="index 6"/>
    <w:basedOn w:val="1"/>
    <w:next w:val="1"/>
    <w:autoRedefine/>
    <w:qFormat/>
    <w:uiPriority w:val="0"/>
    <w:pPr>
      <w:ind w:left="1440" w:hanging="240"/>
      <w:jc w:val="left"/>
    </w:pPr>
    <w:rPr>
      <w:rFonts w:ascii="Calibri" w:hAnsi="Calibri"/>
      <w:sz w:val="18"/>
      <w:szCs w:val="18"/>
    </w:rPr>
  </w:style>
  <w:style w:type="paragraph" w:styleId="38">
    <w:name w:val="index heading"/>
    <w:basedOn w:val="1"/>
    <w:next w:val="15"/>
    <w:qFormat/>
    <w:uiPriority w:val="99"/>
    <w:pPr>
      <w:spacing w:before="240" w:after="120"/>
      <w:ind w:left="140"/>
      <w:jc w:val="left"/>
    </w:pPr>
    <w:rPr>
      <w:rFonts w:ascii="Cambria" w:hAnsi="Cambria"/>
      <w:b/>
      <w:bCs/>
      <w:sz w:val="28"/>
      <w:szCs w:val="28"/>
    </w:rPr>
  </w:style>
  <w:style w:type="paragraph" w:styleId="39">
    <w:name w:val="Body Text 2"/>
    <w:basedOn w:val="1"/>
    <w:link w:val="66"/>
    <w:qFormat/>
    <w:uiPriority w:val="0"/>
    <w:pPr>
      <w:spacing w:after="120" w:line="480" w:lineRule="auto"/>
    </w:pPr>
  </w:style>
  <w:style w:type="paragraph" w:styleId="40">
    <w:name w:val="header"/>
    <w:basedOn w:val="1"/>
    <w:link w:val="58"/>
    <w:uiPriority w:val="0"/>
    <w:pPr>
      <w:tabs>
        <w:tab w:val="center" w:pos="4252"/>
        <w:tab w:val="right" w:pos="8504"/>
      </w:tabs>
    </w:pPr>
  </w:style>
  <w:style w:type="paragraph" w:styleId="41">
    <w:name w:val="Body Text Indent"/>
    <w:basedOn w:val="1"/>
    <w:link w:val="70"/>
    <w:qFormat/>
    <w:uiPriority w:val="0"/>
    <w:pPr>
      <w:spacing w:after="120"/>
      <w:ind w:left="283"/>
    </w:pPr>
  </w:style>
  <w:style w:type="paragraph" w:styleId="42">
    <w:name w:val="List Bullet"/>
    <w:basedOn w:val="1"/>
    <w:autoRedefine/>
    <w:qFormat/>
    <w:uiPriority w:val="0"/>
    <w:pPr>
      <w:ind w:right="51"/>
    </w:pPr>
  </w:style>
  <w:style w:type="paragraph" w:styleId="43">
    <w:name w:val="Normal (Web)"/>
    <w:basedOn w:val="1"/>
    <w:uiPriority w:val="99"/>
    <w:pPr>
      <w:spacing w:before="100" w:beforeAutospacing="1" w:after="100" w:afterAutospacing="1"/>
    </w:pPr>
    <w:rPr>
      <w:lang w:val="es-ES"/>
    </w:rPr>
  </w:style>
  <w:style w:type="paragraph" w:styleId="44">
    <w:name w:val="footer"/>
    <w:basedOn w:val="1"/>
    <w:link w:val="62"/>
    <w:uiPriority w:val="99"/>
    <w:pPr>
      <w:tabs>
        <w:tab w:val="center" w:pos="4252"/>
        <w:tab w:val="right" w:pos="8504"/>
      </w:tabs>
    </w:pPr>
  </w:style>
  <w:style w:type="paragraph" w:styleId="45">
    <w:name w:val="Body Text Indent 2"/>
    <w:basedOn w:val="1"/>
    <w:link w:val="73"/>
    <w:qFormat/>
    <w:uiPriority w:val="0"/>
    <w:pPr>
      <w:spacing w:after="120" w:line="480" w:lineRule="auto"/>
      <w:ind w:left="283"/>
    </w:pPr>
  </w:style>
  <w:style w:type="paragraph" w:styleId="46">
    <w:name w:val="Subtitle"/>
    <w:basedOn w:val="1"/>
    <w:link w:val="71"/>
    <w:qFormat/>
    <w:uiPriority w:val="0"/>
    <w:rPr>
      <w:b/>
      <w:bCs/>
      <w:lang w:val="en-US"/>
    </w:rPr>
  </w:style>
  <w:style w:type="paragraph" w:styleId="47">
    <w:name w:val="Body Text"/>
    <w:basedOn w:val="1"/>
    <w:link w:val="63"/>
    <w:uiPriority w:val="0"/>
    <w:pPr>
      <w:tabs>
        <w:tab w:val="left" w:pos="0"/>
      </w:tabs>
    </w:pPr>
    <w:rPr>
      <w:color w:val="000000"/>
      <w:sz w:val="22"/>
      <w:szCs w:val="20"/>
      <w:lang/>
    </w:rPr>
  </w:style>
  <w:style w:type="paragraph" w:styleId="48">
    <w:name w:val="Body Text 3"/>
    <w:basedOn w:val="1"/>
    <w:link w:val="67"/>
    <w:qFormat/>
    <w:uiPriority w:val="0"/>
    <w:pPr>
      <w:spacing w:after="120"/>
    </w:pPr>
    <w:rPr>
      <w:sz w:val="16"/>
      <w:szCs w:val="16"/>
    </w:rPr>
  </w:style>
  <w:style w:type="paragraph" w:styleId="49">
    <w:name w:val="Title"/>
    <w:basedOn w:val="1"/>
    <w:link w:val="104"/>
    <w:qFormat/>
    <w:uiPriority w:val="99"/>
    <w:pPr>
      <w:autoSpaceDE w:val="0"/>
      <w:autoSpaceDN w:val="0"/>
      <w:jc w:val="center"/>
    </w:pPr>
    <w:rPr>
      <w:rFonts w:ascii="Tahoma" w:hAnsi="Tahoma" w:cs="Tahoma"/>
      <w:b/>
      <w:bCs/>
      <w:lang w:val="es-ES"/>
    </w:rPr>
  </w:style>
  <w:style w:type="table" w:styleId="50">
    <w:name w:val="Table Grid"/>
    <w:basedOn w:val="9"/>
    <w:qFormat/>
    <w:uiPriority w:val="0"/>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
    <w:name w:val="Título 1 Car"/>
    <w:basedOn w:val="8"/>
    <w:link w:val="2"/>
    <w:uiPriority w:val="0"/>
    <w:rPr>
      <w:rFonts w:ascii="Arial" w:hAnsi="Arial" w:eastAsia="Times New Roman" w:cs="Arial"/>
      <w:b/>
      <w:bCs/>
      <w:kern w:val="32"/>
      <w:sz w:val="24"/>
      <w:szCs w:val="32"/>
      <w:lang w:eastAsia="es-ES"/>
    </w:rPr>
  </w:style>
  <w:style w:type="character" w:customStyle="1" w:styleId="52">
    <w:name w:val="Título 2 Car1"/>
    <w:link w:val="3"/>
    <w:uiPriority w:val="0"/>
    <w:rPr>
      <w:rFonts w:ascii="Arial" w:hAnsi="Arial" w:eastAsia="Times New Roman" w:cs="Arial"/>
      <w:b/>
      <w:bCs/>
      <w:iCs/>
      <w:sz w:val="24"/>
      <w:szCs w:val="28"/>
      <w:lang w:eastAsia="es-ES"/>
    </w:rPr>
  </w:style>
  <w:style w:type="character" w:customStyle="1" w:styleId="53">
    <w:name w:val="Título 3 Car"/>
    <w:basedOn w:val="8"/>
    <w:link w:val="4"/>
    <w:uiPriority w:val="0"/>
    <w:rPr>
      <w:rFonts w:ascii="Arial" w:hAnsi="Arial" w:eastAsia="Times New Roman" w:cs="Arial"/>
      <w:b/>
      <w:bCs/>
      <w:sz w:val="24"/>
      <w:szCs w:val="26"/>
      <w:lang w:eastAsia="es-ES"/>
    </w:rPr>
  </w:style>
  <w:style w:type="character" w:customStyle="1" w:styleId="54">
    <w:name w:val="Título 4 Car"/>
    <w:basedOn w:val="8"/>
    <w:link w:val="5"/>
    <w:uiPriority w:val="0"/>
    <w:rPr>
      <w:rFonts w:ascii="Arial" w:hAnsi="Arial" w:eastAsia="Times New Roman" w:cs="Times New Roman"/>
      <w:b/>
      <w:bCs/>
      <w:sz w:val="24"/>
      <w:szCs w:val="28"/>
      <w:lang w:eastAsia="es-ES"/>
    </w:rPr>
  </w:style>
  <w:style w:type="character" w:customStyle="1" w:styleId="55">
    <w:name w:val="Título 5 Car"/>
    <w:basedOn w:val="8"/>
    <w:link w:val="6"/>
    <w:uiPriority w:val="0"/>
    <w:rPr>
      <w:rFonts w:ascii="Arial" w:hAnsi="Arial" w:eastAsia="Times New Roman" w:cs="Times New Roman"/>
      <w:b/>
      <w:bCs/>
      <w:iCs/>
      <w:sz w:val="24"/>
      <w:szCs w:val="26"/>
      <w:lang w:eastAsia="es-ES"/>
    </w:rPr>
  </w:style>
  <w:style w:type="character" w:customStyle="1" w:styleId="56">
    <w:name w:val="Título 7 Car"/>
    <w:basedOn w:val="8"/>
    <w:link w:val="7"/>
    <w:uiPriority w:val="9"/>
    <w:rPr>
      <w:rFonts w:ascii="Calibri" w:hAnsi="Calibri" w:eastAsia="Times New Roman" w:cs="Times New Roman"/>
      <w:sz w:val="24"/>
      <w:szCs w:val="24"/>
    </w:rPr>
  </w:style>
  <w:style w:type="character" w:customStyle="1" w:styleId="57">
    <w:name w:val="Título 2 Car"/>
    <w:basedOn w:val="8"/>
    <w:uiPriority w:val="0"/>
    <w:rPr>
      <w:rFonts w:asciiTheme="majorHAnsi" w:hAnsiTheme="majorHAnsi" w:eastAsiaTheme="majorEastAsia" w:cstheme="majorBidi"/>
      <w:color w:val="2E75B6" w:themeColor="accent1" w:themeShade="BF"/>
      <w:sz w:val="26"/>
      <w:szCs w:val="26"/>
      <w:lang w:eastAsia="es-ES"/>
    </w:rPr>
  </w:style>
  <w:style w:type="character" w:customStyle="1" w:styleId="58">
    <w:name w:val="Encabezado Car"/>
    <w:basedOn w:val="8"/>
    <w:link w:val="40"/>
    <w:uiPriority w:val="0"/>
    <w:rPr>
      <w:rFonts w:ascii="Arial" w:hAnsi="Arial" w:eastAsia="Times New Roman" w:cs="Times New Roman"/>
      <w:sz w:val="24"/>
      <w:szCs w:val="24"/>
      <w:lang w:eastAsia="es-ES"/>
    </w:rPr>
  </w:style>
  <w:style w:type="character" w:customStyle="1" w:styleId="59">
    <w:name w:val="Texto de globo Car"/>
    <w:basedOn w:val="8"/>
    <w:link w:val="31"/>
    <w:semiHidden/>
    <w:uiPriority w:val="0"/>
    <w:rPr>
      <w:rFonts w:ascii="Tahoma" w:hAnsi="Tahoma" w:eastAsia="Times New Roman" w:cs="Tahoma"/>
      <w:sz w:val="16"/>
      <w:szCs w:val="16"/>
      <w:lang w:eastAsia="es-ES"/>
    </w:rPr>
  </w:style>
  <w:style w:type="paragraph" w:customStyle="1" w:styleId="60">
    <w:name w:val="Texto predeterminado"/>
    <w:basedOn w:val="1"/>
    <w:link w:val="61"/>
    <w:uiPriority w:val="0"/>
    <w:rPr>
      <w:color w:val="000000"/>
      <w:szCs w:val="20"/>
      <w:lang w:val="en-US"/>
    </w:rPr>
  </w:style>
  <w:style w:type="character" w:customStyle="1" w:styleId="61">
    <w:name w:val="Texto predeterminado Car"/>
    <w:link w:val="60"/>
    <w:uiPriority w:val="0"/>
    <w:rPr>
      <w:rFonts w:ascii="Arial" w:hAnsi="Arial" w:eastAsia="Times New Roman" w:cs="Times New Roman"/>
      <w:color w:val="000000"/>
      <w:sz w:val="24"/>
      <w:szCs w:val="20"/>
      <w:lang w:val="en-US" w:eastAsia="es-ES"/>
    </w:rPr>
  </w:style>
  <w:style w:type="character" w:customStyle="1" w:styleId="62">
    <w:name w:val="Pie de página Car"/>
    <w:basedOn w:val="8"/>
    <w:link w:val="44"/>
    <w:uiPriority w:val="99"/>
    <w:rPr>
      <w:rFonts w:ascii="Arial" w:hAnsi="Arial" w:eastAsia="Times New Roman" w:cs="Times New Roman"/>
      <w:sz w:val="24"/>
      <w:szCs w:val="24"/>
      <w:lang w:eastAsia="es-ES"/>
    </w:rPr>
  </w:style>
  <w:style w:type="character" w:customStyle="1" w:styleId="63">
    <w:name w:val="Texto independiente Car"/>
    <w:basedOn w:val="8"/>
    <w:link w:val="47"/>
    <w:uiPriority w:val="0"/>
    <w:rPr>
      <w:rFonts w:ascii="Arial" w:hAnsi="Arial" w:eastAsia="Times New Roman" w:cs="Times New Roman"/>
      <w:color w:val="000000"/>
      <w:szCs w:val="20"/>
      <w:lang w:eastAsia="es-ES"/>
    </w:rPr>
  </w:style>
  <w:style w:type="paragraph" w:customStyle="1" w:styleId="64">
    <w:name w:val="Texto independiente 21"/>
    <w:basedOn w:val="1"/>
    <w:uiPriority w:val="0"/>
    <w:pPr>
      <w:tabs>
        <w:tab w:val="left" w:pos="0"/>
      </w:tabs>
      <w:spacing w:line="360" w:lineRule="auto"/>
      <w:ind w:left="340"/>
    </w:pPr>
    <w:rPr>
      <w:color w:val="000000"/>
      <w:szCs w:val="20"/>
      <w:lang/>
    </w:rPr>
  </w:style>
  <w:style w:type="paragraph" w:styleId="65">
    <w:name w:val="List Paragraph"/>
    <w:basedOn w:val="1"/>
    <w:qFormat/>
    <w:uiPriority w:val="34"/>
    <w:pPr>
      <w:ind w:left="708"/>
    </w:pPr>
    <w:rPr>
      <w:sz w:val="20"/>
      <w:szCs w:val="20"/>
      <w:lang w:val="es-ES"/>
    </w:rPr>
  </w:style>
  <w:style w:type="character" w:customStyle="1" w:styleId="66">
    <w:name w:val="Texto independiente 2 Car"/>
    <w:basedOn w:val="8"/>
    <w:link w:val="39"/>
    <w:qFormat/>
    <w:uiPriority w:val="0"/>
    <w:rPr>
      <w:rFonts w:ascii="Arial" w:hAnsi="Arial" w:eastAsia="Times New Roman" w:cs="Times New Roman"/>
      <w:sz w:val="24"/>
      <w:szCs w:val="24"/>
      <w:lang w:eastAsia="es-ES"/>
    </w:rPr>
  </w:style>
  <w:style w:type="character" w:customStyle="1" w:styleId="67">
    <w:name w:val="Texto independiente 3 Car"/>
    <w:basedOn w:val="8"/>
    <w:link w:val="48"/>
    <w:qFormat/>
    <w:uiPriority w:val="0"/>
    <w:rPr>
      <w:rFonts w:ascii="Arial" w:hAnsi="Arial" w:eastAsia="Times New Roman" w:cs="Times New Roman"/>
      <w:sz w:val="16"/>
      <w:szCs w:val="16"/>
      <w:lang w:eastAsia="es-ES"/>
    </w:rPr>
  </w:style>
  <w:style w:type="paragraph" w:customStyle="1" w:styleId="68">
    <w:name w:val="Título1"/>
    <w:basedOn w:val="1"/>
    <w:link w:val="69"/>
    <w:qFormat/>
    <w:uiPriority w:val="0"/>
    <w:pPr>
      <w:suppressAutoHyphens/>
      <w:ind w:right="-136"/>
      <w:jc w:val="center"/>
    </w:pPr>
    <w:rPr>
      <w:b/>
      <w:spacing w:val="20"/>
      <w:sz w:val="20"/>
      <w:szCs w:val="20"/>
    </w:rPr>
  </w:style>
  <w:style w:type="character" w:customStyle="1" w:styleId="69">
    <w:name w:val="Título Car"/>
    <w:link w:val="68"/>
    <w:qFormat/>
    <w:uiPriority w:val="0"/>
    <w:rPr>
      <w:rFonts w:ascii="Arial" w:hAnsi="Arial" w:eastAsia="Times New Roman" w:cs="Times New Roman"/>
      <w:b/>
      <w:spacing w:val="20"/>
      <w:sz w:val="20"/>
      <w:szCs w:val="20"/>
      <w:lang w:eastAsia="es-ES"/>
    </w:rPr>
  </w:style>
  <w:style w:type="character" w:customStyle="1" w:styleId="70">
    <w:name w:val="Sangría de texto normal Car"/>
    <w:basedOn w:val="8"/>
    <w:link w:val="41"/>
    <w:qFormat/>
    <w:uiPriority w:val="0"/>
    <w:rPr>
      <w:rFonts w:ascii="Arial" w:hAnsi="Arial" w:eastAsia="Times New Roman" w:cs="Times New Roman"/>
      <w:sz w:val="24"/>
      <w:szCs w:val="24"/>
      <w:lang w:eastAsia="es-ES"/>
    </w:rPr>
  </w:style>
  <w:style w:type="character" w:customStyle="1" w:styleId="71">
    <w:name w:val="Subtítulo Car"/>
    <w:basedOn w:val="8"/>
    <w:link w:val="46"/>
    <w:qFormat/>
    <w:uiPriority w:val="0"/>
    <w:rPr>
      <w:rFonts w:ascii="Arial" w:hAnsi="Arial" w:eastAsia="Times New Roman" w:cs="Times New Roman"/>
      <w:b/>
      <w:bCs/>
      <w:sz w:val="24"/>
      <w:szCs w:val="24"/>
      <w:lang w:val="en-US" w:eastAsia="es-ES"/>
    </w:rPr>
  </w:style>
  <w:style w:type="character" w:customStyle="1" w:styleId="72">
    <w:name w:val="Texto nota pie Car"/>
    <w:basedOn w:val="8"/>
    <w:link w:val="18"/>
    <w:semiHidden/>
    <w:qFormat/>
    <w:uiPriority w:val="99"/>
    <w:rPr>
      <w:rFonts w:ascii="Arial" w:hAnsi="Arial" w:eastAsia="Times New Roman" w:cs="Times New Roman"/>
      <w:sz w:val="20"/>
      <w:szCs w:val="20"/>
      <w:lang w:val="es-ES" w:eastAsia="es-ES"/>
    </w:rPr>
  </w:style>
  <w:style w:type="character" w:customStyle="1" w:styleId="73">
    <w:name w:val="Sangría 2 de t. independiente Car"/>
    <w:basedOn w:val="8"/>
    <w:link w:val="45"/>
    <w:qFormat/>
    <w:uiPriority w:val="0"/>
    <w:rPr>
      <w:rFonts w:ascii="Arial" w:hAnsi="Arial" w:eastAsia="Times New Roman" w:cs="Times New Roman"/>
      <w:sz w:val="24"/>
      <w:szCs w:val="24"/>
      <w:lang w:eastAsia="es-ES"/>
    </w:rPr>
  </w:style>
  <w:style w:type="paragraph" w:customStyle="1" w:styleId="74">
    <w:name w:val="Encabezado1"/>
    <w:basedOn w:val="1"/>
    <w:qFormat/>
    <w:uiPriority w:val="0"/>
    <w:pPr>
      <w:tabs>
        <w:tab w:val="center" w:pos="4252"/>
        <w:tab w:val="right" w:pos="8504"/>
      </w:tabs>
    </w:pPr>
    <w:rPr>
      <w:color w:val="000000"/>
      <w:sz w:val="22"/>
      <w:szCs w:val="20"/>
      <w:lang/>
    </w:rPr>
  </w:style>
  <w:style w:type="character" w:customStyle="1" w:styleId="75">
    <w:name w:val="Texto comentario Car"/>
    <w:basedOn w:val="8"/>
    <w:link w:val="30"/>
    <w:qFormat/>
    <w:uiPriority w:val="99"/>
    <w:rPr>
      <w:rFonts w:ascii="Arial" w:hAnsi="Arial" w:eastAsia="Times New Roman" w:cs="Times New Roman"/>
      <w:sz w:val="20"/>
      <w:szCs w:val="20"/>
      <w:lang w:eastAsia="es-ES"/>
    </w:rPr>
  </w:style>
  <w:style w:type="character" w:customStyle="1" w:styleId="76">
    <w:name w:val="Asunto del comentario Car"/>
    <w:basedOn w:val="75"/>
    <w:link w:val="29"/>
    <w:qFormat/>
    <w:uiPriority w:val="0"/>
    <w:rPr>
      <w:rFonts w:ascii="Arial" w:hAnsi="Arial" w:eastAsia="Times New Roman" w:cs="Times New Roman"/>
      <w:b/>
      <w:bCs/>
      <w:sz w:val="20"/>
      <w:szCs w:val="20"/>
      <w:lang w:eastAsia="es-ES"/>
    </w:rPr>
  </w:style>
  <w:style w:type="paragraph" w:customStyle="1" w:styleId="77">
    <w:name w:val="TOC Heading"/>
    <w:basedOn w:val="2"/>
    <w:next w:val="1"/>
    <w:qFormat/>
    <w:uiPriority w:val="39"/>
    <w:pPr>
      <w:keepLines/>
      <w:spacing w:before="480" w:after="0" w:line="276" w:lineRule="auto"/>
      <w:outlineLvl w:val="9"/>
    </w:pPr>
    <w:rPr>
      <w:rFonts w:ascii="Cambria" w:hAnsi="Cambria" w:cs="Times New Roman"/>
      <w:color w:val="365F91"/>
      <w:kern w:val="0"/>
      <w:sz w:val="28"/>
      <w:szCs w:val="28"/>
      <w:lang w:val="es-ES" w:eastAsia="en-US"/>
    </w:rPr>
  </w:style>
  <w:style w:type="paragraph" w:styleId="78">
    <w:name w:val="Intense Quote"/>
    <w:basedOn w:val="1"/>
    <w:next w:val="1"/>
    <w:link w:val="79"/>
    <w:qFormat/>
    <w:uiPriority w:val="30"/>
    <w:pPr>
      <w:pBdr>
        <w:bottom w:val="single" w:color="4F81BD" w:sz="4" w:space="4"/>
      </w:pBdr>
      <w:spacing w:before="200" w:after="280"/>
      <w:ind w:left="936" w:right="936"/>
    </w:pPr>
    <w:rPr>
      <w:b/>
      <w:bCs/>
      <w:i/>
      <w:iCs/>
      <w:color w:val="4F81BD"/>
    </w:rPr>
  </w:style>
  <w:style w:type="character" w:customStyle="1" w:styleId="79">
    <w:name w:val="Cita destacada Car"/>
    <w:basedOn w:val="8"/>
    <w:link w:val="78"/>
    <w:qFormat/>
    <w:uiPriority w:val="30"/>
    <w:rPr>
      <w:rFonts w:ascii="Arial" w:hAnsi="Arial" w:eastAsia="Times New Roman" w:cs="Times New Roman"/>
      <w:b/>
      <w:bCs/>
      <w:i/>
      <w:iCs/>
      <w:color w:val="4F81BD"/>
      <w:sz w:val="24"/>
      <w:szCs w:val="24"/>
      <w:lang w:eastAsia="es-ES"/>
    </w:rPr>
  </w:style>
  <w:style w:type="paragraph" w:customStyle="1" w:styleId="80">
    <w:name w:val="Epígrafe1"/>
    <w:basedOn w:val="1"/>
    <w:next w:val="1"/>
    <w:unhideWhenUsed/>
    <w:qFormat/>
    <w:uiPriority w:val="35"/>
    <w:pPr>
      <w:spacing w:after="200"/>
    </w:pPr>
    <w:rPr>
      <w:rFonts w:ascii="Calibri" w:hAnsi="Calibri" w:eastAsia="Calibri"/>
      <w:b/>
      <w:bCs/>
      <w:color w:val="4F81BD"/>
      <w:sz w:val="18"/>
      <w:szCs w:val="18"/>
      <w:lang w:eastAsia="en-US"/>
    </w:rPr>
  </w:style>
  <w:style w:type="character" w:customStyle="1" w:styleId="81">
    <w:name w:val="_tgc"/>
    <w:qFormat/>
    <w:uiPriority w:val="0"/>
  </w:style>
  <w:style w:type="character" w:customStyle="1" w:styleId="82">
    <w:name w:val="saltarnavegacion1"/>
    <w:qFormat/>
    <w:uiPriority w:val="0"/>
    <w:rPr>
      <w:vanish/>
      <w:u w:val="none"/>
    </w:rPr>
  </w:style>
  <w:style w:type="character" w:customStyle="1" w:styleId="83">
    <w:name w:val="findelista3"/>
    <w:qFormat/>
    <w:uiPriority w:val="0"/>
    <w:rPr>
      <w:vanish/>
      <w:u w:val="none"/>
    </w:rPr>
  </w:style>
  <w:style w:type="character" w:customStyle="1" w:styleId="84">
    <w:name w:val="elementoimprimible2"/>
    <w:qFormat/>
    <w:uiPriority w:val="0"/>
    <w:rPr>
      <w:color w:val="06325F"/>
      <w:u w:val="none"/>
      <w:shd w:val="clear" w:color="auto" w:fill="auto"/>
    </w:rPr>
  </w:style>
  <w:style w:type="character" w:customStyle="1" w:styleId="85">
    <w:name w:val="labelhidden4"/>
    <w:qFormat/>
    <w:uiPriority w:val="0"/>
    <w:rPr>
      <w:color w:val="FFFFFF"/>
      <w:sz w:val="20"/>
      <w:szCs w:val="20"/>
      <w:u w:val="none"/>
      <w:bdr w:val="dotted" w:color="D1D1D1" w:sz="6" w:space="0"/>
      <w:shd w:val="clear" w:color="auto" w:fill="333333"/>
    </w:rPr>
  </w:style>
  <w:style w:type="paragraph" w:customStyle="1" w:styleId="86">
    <w:name w:val="Default"/>
    <w:qFormat/>
    <w:uiPriority w:val="0"/>
    <w:pPr>
      <w:autoSpaceDE w:val="0"/>
      <w:autoSpaceDN w:val="0"/>
      <w:adjustRightInd w:val="0"/>
      <w:spacing w:after="0" w:line="240" w:lineRule="auto"/>
    </w:pPr>
    <w:rPr>
      <w:rFonts w:ascii="ITC Franklin Gothic Std Book" w:hAnsi="ITC Franklin Gothic Std Book" w:cs="ITC Franklin Gothic Std Book" w:eastAsiaTheme="minorHAnsi"/>
      <w:color w:val="000000"/>
      <w:sz w:val="24"/>
      <w:szCs w:val="24"/>
      <w:lang w:val="es-CO" w:eastAsia="en-US" w:bidi="ar-SA"/>
    </w:rPr>
  </w:style>
  <w:style w:type="paragraph" w:customStyle="1" w:styleId="87">
    <w:name w:val="Pa16"/>
    <w:basedOn w:val="86"/>
    <w:next w:val="86"/>
    <w:qFormat/>
    <w:uiPriority w:val="99"/>
    <w:pPr>
      <w:spacing w:line="221" w:lineRule="atLeast"/>
    </w:pPr>
    <w:rPr>
      <w:rFonts w:cstheme="minorBidi"/>
      <w:color w:val="auto"/>
    </w:rPr>
  </w:style>
  <w:style w:type="character" w:customStyle="1" w:styleId="88">
    <w:name w:val="A8"/>
    <w:qFormat/>
    <w:uiPriority w:val="99"/>
    <w:rPr>
      <w:rFonts w:cs="ITC Franklin Gothic Std Book"/>
      <w:b/>
      <w:bCs/>
      <w:color w:val="000000"/>
      <w:sz w:val="22"/>
      <w:szCs w:val="22"/>
    </w:rPr>
  </w:style>
  <w:style w:type="paragraph" w:customStyle="1" w:styleId="89">
    <w:name w:val="Pa5"/>
    <w:basedOn w:val="86"/>
    <w:next w:val="86"/>
    <w:qFormat/>
    <w:uiPriority w:val="99"/>
    <w:pPr>
      <w:spacing w:line="241" w:lineRule="atLeast"/>
    </w:pPr>
    <w:rPr>
      <w:rFonts w:cstheme="minorBidi"/>
      <w:color w:val="auto"/>
    </w:rPr>
  </w:style>
  <w:style w:type="character" w:customStyle="1" w:styleId="90">
    <w:name w:val="A2"/>
    <w:qFormat/>
    <w:uiPriority w:val="99"/>
    <w:rPr>
      <w:rFonts w:ascii="ITC Franklin Gothic Std" w:hAnsi="ITC Franklin Gothic Std" w:cs="ITC Franklin Gothic Std"/>
      <w:b/>
      <w:bCs/>
      <w:color w:val="000000"/>
      <w:sz w:val="18"/>
      <w:szCs w:val="18"/>
    </w:rPr>
  </w:style>
  <w:style w:type="paragraph" w:customStyle="1" w:styleId="91">
    <w:name w:val="Pa13"/>
    <w:basedOn w:val="86"/>
    <w:next w:val="86"/>
    <w:qFormat/>
    <w:uiPriority w:val="99"/>
    <w:pPr>
      <w:spacing w:line="221" w:lineRule="atLeast"/>
    </w:pPr>
    <w:rPr>
      <w:rFonts w:cstheme="minorBidi"/>
      <w:color w:val="auto"/>
    </w:rPr>
  </w:style>
  <w:style w:type="paragraph" w:customStyle="1" w:styleId="92">
    <w:name w:val="Pa4"/>
    <w:basedOn w:val="86"/>
    <w:next w:val="86"/>
    <w:qFormat/>
    <w:uiPriority w:val="99"/>
    <w:pPr>
      <w:spacing w:line="221" w:lineRule="atLeast"/>
    </w:pPr>
    <w:rPr>
      <w:rFonts w:cstheme="minorBidi"/>
      <w:color w:val="auto"/>
    </w:rPr>
  </w:style>
  <w:style w:type="paragraph" w:customStyle="1" w:styleId="93">
    <w:name w:val="Pa21"/>
    <w:basedOn w:val="86"/>
    <w:next w:val="86"/>
    <w:qFormat/>
    <w:uiPriority w:val="99"/>
    <w:pPr>
      <w:spacing w:line="281" w:lineRule="atLeast"/>
    </w:pPr>
    <w:rPr>
      <w:rFonts w:cstheme="minorBidi"/>
      <w:color w:val="auto"/>
    </w:rPr>
  </w:style>
  <w:style w:type="paragraph" w:customStyle="1" w:styleId="94">
    <w:name w:val="Pa22"/>
    <w:basedOn w:val="86"/>
    <w:next w:val="86"/>
    <w:qFormat/>
    <w:uiPriority w:val="99"/>
    <w:pPr>
      <w:spacing w:line="281" w:lineRule="atLeast"/>
    </w:pPr>
    <w:rPr>
      <w:rFonts w:cstheme="minorBidi"/>
      <w:color w:val="auto"/>
    </w:rPr>
  </w:style>
  <w:style w:type="table" w:customStyle="1" w:styleId="95">
    <w:name w:val="Tabla normal 41"/>
    <w:basedOn w:val="9"/>
    <w:qFormat/>
    <w:uiPriority w:val="44"/>
    <w:pPr>
      <w:spacing w:after="0" w:line="240" w:lineRule="auto"/>
    </w:pPr>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96">
    <w:name w:val="Tabla de cuadrícula 1 clara - Énfasis 61"/>
    <w:basedOn w:val="9"/>
    <w:qFormat/>
    <w:uiPriority w:val="46"/>
    <w:pPr>
      <w:spacing w:after="0" w:line="240" w:lineRule="auto"/>
    </w:pPr>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97">
    <w:name w:val="Pa2"/>
    <w:basedOn w:val="86"/>
    <w:next w:val="86"/>
    <w:qFormat/>
    <w:uiPriority w:val="99"/>
    <w:pPr>
      <w:spacing w:line="241" w:lineRule="atLeast"/>
    </w:pPr>
    <w:rPr>
      <w:rFonts w:cstheme="minorBidi"/>
      <w:color w:val="auto"/>
    </w:rPr>
  </w:style>
  <w:style w:type="paragraph" w:customStyle="1" w:styleId="98">
    <w:name w:val="Pa12"/>
    <w:basedOn w:val="86"/>
    <w:next w:val="86"/>
    <w:qFormat/>
    <w:uiPriority w:val="99"/>
    <w:pPr>
      <w:spacing w:line="281" w:lineRule="atLeast"/>
    </w:pPr>
    <w:rPr>
      <w:rFonts w:cstheme="minorBidi"/>
      <w:color w:val="auto"/>
    </w:rPr>
  </w:style>
  <w:style w:type="table" w:customStyle="1" w:styleId="99">
    <w:name w:val="Tabla de cuadrícula 4 - Énfasis 51"/>
    <w:basedOn w:val="9"/>
    <w:qFormat/>
    <w:uiPriority w:val="49"/>
    <w:pPr>
      <w:spacing w:after="0" w:line="240" w:lineRule="auto"/>
    </w:pPr>
    <w:tblPr>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color w:val="FFFFFF" w:themeColor="background1"/>
        <w14:textFill>
          <w14:solidFill>
            <w14:schemeClr w14:val="bg1"/>
          </w14:solidFill>
        </w14:textFill>
      </w:r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w:type="lastRow">
      <w:rPr>
        <w:b/>
        <w:bCs/>
      </w:rPr>
      <w:tcPr>
        <w:tcBorders>
          <w:top w:val="double" w:color="4472C4" w:themeColor="accent5" w:sz="4" w:space="0"/>
        </w:tcBorders>
      </w:tcPr>
    </w:tblStylePr>
    <w:tblStylePr w:type="firstCol">
      <w:rPr>
        <w:b/>
        <w:bCs/>
      </w:rPr>
    </w:tblStylePr>
    <w:tblStylePr w:type="lastCol">
      <w:rPr>
        <w:b/>
        <w:bCs/>
      </w:rPr>
    </w:tblStylePr>
    <w:tblStylePr w:type="band1Vert">
      <w:tcPr>
        <w:shd w:val="clear" w:color="auto" w:fill="D9E2F3" w:themeFill="accent5" w:themeFillTint="33"/>
      </w:tcPr>
    </w:tblStylePr>
    <w:tblStylePr w:type="band1Horz">
      <w:tcPr>
        <w:shd w:val="clear" w:color="auto" w:fill="D9E2F3" w:themeFill="accent5" w:themeFillTint="33"/>
      </w:tcPr>
    </w:tblStylePr>
  </w:style>
  <w:style w:type="table" w:customStyle="1" w:styleId="100">
    <w:name w:val="Tabla de cuadrícula 4 - Énfasis 11"/>
    <w:basedOn w:val="9"/>
    <w:qFormat/>
    <w:uiPriority w:val="49"/>
    <w:pPr>
      <w:spacing w:after="0" w:line="240" w:lineRule="auto"/>
    </w:pPr>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table" w:customStyle="1" w:styleId="101">
    <w:name w:val="Tabla de cuadrícula 3 - Énfasis 11"/>
    <w:basedOn w:val="9"/>
    <w:qFormat/>
    <w:uiPriority w:val="48"/>
    <w:pPr>
      <w:spacing w:after="0" w:line="240" w:lineRule="auto"/>
    </w:pPr>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rPr>
      <w:tcPr>
        <w:tcBorders>
          <w:top w:val="nil"/>
          <w:left w:val="nil"/>
          <w:right w:val="nil"/>
          <w:insideH w:val="nil"/>
          <w:insideV w:val="nil"/>
        </w:tcBorders>
        <w:shd w:val="clear" w:color="auto" w:fill="FFFFFF" w:themeFill="background1"/>
      </w:tcPr>
    </w:tblStylePr>
    <w:tblStylePr w:type="lastRow">
      <w:rPr>
        <w:b/>
        <w:bCs/>
      </w:rPr>
      <w:tcPr>
        <w:tcBorders>
          <w:left w:val="nil"/>
          <w:bottom w:val="nil"/>
          <w:right w:val="nil"/>
          <w:insideH w:val="nil"/>
          <w:insideV w:val="nil"/>
        </w:tcBorders>
        <w:shd w:val="clear" w:color="auto" w:fill="FFFFFF" w:themeFill="background1"/>
      </w:tcPr>
    </w:tblStylePr>
    <w:tblStylePr w:type="firstCol">
      <w:pPr>
        <w:jc w:val="right"/>
      </w:pPr>
      <w:rPr>
        <w:i/>
        <w:iCs/>
      </w:rPr>
      <w:tcPr>
        <w:tcBorders>
          <w:top w:val="nil"/>
          <w:left w:val="nil"/>
          <w:bottom w:val="nil"/>
          <w:insideH w:val="nil"/>
          <w:insideV w:val="nil"/>
        </w:tcBorders>
        <w:shd w:val="clear" w:color="auto" w:fill="FFFFFF" w:themeFill="background1"/>
      </w:tcPr>
    </w:tblStylePr>
    <w:tblStylePr w:type="lastCol">
      <w:rPr>
        <w:i/>
        <w:iCs/>
      </w:rPr>
      <w:tcPr>
        <w:tcBorders>
          <w:top w:val="nil"/>
          <w:bottom w:val="nil"/>
          <w:right w:val="nil"/>
          <w:insideH w:val="nil"/>
          <w:insideV w:val="nil"/>
        </w:tcBorders>
        <w:shd w:val="clear" w:color="auto" w:fill="FFFFFF" w:themeFill="background1"/>
      </w:tcPr>
    </w:tblStylePr>
    <w:tblStylePr w:type="band1Vert">
      <w:tcPr>
        <w:shd w:val="clear" w:color="auto" w:fill="DEEAF6" w:themeFill="accent1" w:themeFillTint="33"/>
      </w:tcPr>
    </w:tblStylePr>
    <w:tblStylePr w:type="band1Horz">
      <w:tcPr>
        <w:shd w:val="clear" w:color="auto" w:fill="DEEAF6" w:themeFill="accent1" w:themeFillTint="33"/>
      </w:tcPr>
    </w:tblStylePr>
    <w:tblStylePr w:type="neCell">
      <w:tcPr>
        <w:tcBorders>
          <w:bottom w:val="single" w:color="9CC2E5" w:themeColor="accent1" w:themeTint="99" w:sz="4" w:space="0"/>
        </w:tcBorders>
      </w:tcPr>
    </w:tblStylePr>
    <w:tblStylePr w:type="nwCell">
      <w:tcPr>
        <w:tcBorders>
          <w:bottom w:val="single" w:color="9CC2E5" w:themeColor="accent1" w:themeTint="99" w:sz="4" w:space="0"/>
        </w:tcBorders>
      </w:tcPr>
    </w:tblStylePr>
    <w:tblStylePr w:type="seCell">
      <w:tcPr>
        <w:tcBorders>
          <w:top w:val="single" w:color="9CC2E5" w:themeColor="accent1" w:themeTint="99" w:sz="4" w:space="0"/>
        </w:tcBorders>
      </w:tcPr>
    </w:tblStylePr>
    <w:tblStylePr w:type="swCell">
      <w:tcPr>
        <w:tcBorders>
          <w:top w:val="single" w:color="9CC2E5" w:themeColor="accent1" w:themeTint="99" w:sz="4" w:space="0"/>
        </w:tcBorders>
      </w:tcPr>
    </w:tblStylePr>
  </w:style>
  <w:style w:type="table" w:customStyle="1" w:styleId="102">
    <w:name w:val="Tabla de cuadrícula 4 - Énfasis 21"/>
    <w:basedOn w:val="9"/>
    <w:qFormat/>
    <w:uiPriority w:val="49"/>
    <w:pPr>
      <w:spacing w:after="0" w:line="240" w:lineRule="auto"/>
    </w:pPr>
    <w:tblPr>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firstRow">
      <w:rPr>
        <w:b/>
        <w:bCs/>
        <w:color w:val="FFFFFF" w:themeColor="background1"/>
        <w14:textFill>
          <w14:solidFill>
            <w14:schemeClr w14:val="bg1"/>
          </w14:solidFill>
        </w14:textFill>
      </w:rPr>
      <w:tcPr>
        <w:tcBorders>
          <w:top w:val="single" w:color="ED7D31" w:themeColor="accent2" w:sz="4" w:space="0"/>
          <w:left w:val="single" w:color="ED7D31" w:themeColor="accent2" w:sz="4" w:space="0"/>
          <w:bottom w:val="single" w:color="ED7D31" w:themeColor="accent2" w:sz="4" w:space="0"/>
          <w:right w:val="single" w:color="ED7D31" w:themeColor="accent2" w:sz="4" w:space="0"/>
          <w:insideH w:val="nil"/>
          <w:insideV w:val="nil"/>
        </w:tcBorders>
        <w:shd w:val="clear" w:color="auto" w:fill="ED7D31" w:themeFill="accent2"/>
      </w:tcPr>
    </w:tblStylePr>
    <w:tblStylePr w:type="lastRow">
      <w:rPr>
        <w:b/>
        <w:bCs/>
      </w:rPr>
      <w:tcPr>
        <w:tcBorders>
          <w:top w:val="double" w:color="ED7D31" w:themeColor="accent2" w:sz="4" w:space="0"/>
        </w:tcBorders>
      </w:tcPr>
    </w:tblStylePr>
    <w:tblStylePr w:type="firstCol">
      <w:rPr>
        <w:b/>
        <w:bCs/>
      </w:rPr>
    </w:tblStylePr>
    <w:tblStylePr w:type="lastCol">
      <w:rPr>
        <w:b/>
        <w:bCs/>
      </w:rPr>
    </w:tblStylePr>
    <w:tblStylePr w:type="band1Vert">
      <w:tcPr>
        <w:shd w:val="clear" w:color="auto" w:fill="FBE4D5" w:themeFill="accent2" w:themeFillTint="33"/>
      </w:tcPr>
    </w:tblStylePr>
    <w:tblStylePr w:type="band1Horz">
      <w:tcPr>
        <w:shd w:val="clear" w:color="auto" w:fill="FBE4D5" w:themeFill="accent2" w:themeFillTint="33"/>
      </w:tcPr>
    </w:tblStylePr>
  </w:style>
  <w:style w:type="table" w:customStyle="1" w:styleId="103">
    <w:name w:val="Tabla de cuadrícula 1 clara - Énfasis 62"/>
    <w:basedOn w:val="9"/>
    <w:qFormat/>
    <w:uiPriority w:val="46"/>
    <w:pPr>
      <w:spacing w:after="0" w:line="240" w:lineRule="auto"/>
    </w:pPr>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character" w:customStyle="1" w:styleId="104">
    <w:name w:val="Título Car1"/>
    <w:basedOn w:val="8"/>
    <w:link w:val="49"/>
    <w:qFormat/>
    <w:uiPriority w:val="99"/>
    <w:rPr>
      <w:rFonts w:ascii="Tahoma" w:hAnsi="Tahoma" w:eastAsia="Times New Roman" w:cs="Tahoma"/>
      <w:b/>
      <w:bCs/>
      <w:sz w:val="24"/>
      <w:szCs w:val="24"/>
      <w:lang w:val="es-ES" w:eastAsia="es-ES"/>
    </w:rPr>
  </w:style>
  <w:style w:type="paragraph" w:customStyle="1" w:styleId="105">
    <w:name w:val="Cuerpo de texto"/>
    <w:basedOn w:val="1"/>
    <w:qFormat/>
    <w:uiPriority w:val="0"/>
    <w:pPr>
      <w:suppressAutoHyphens/>
      <w:overflowPunct w:val="0"/>
      <w:autoSpaceDE w:val="0"/>
      <w:autoSpaceDN w:val="0"/>
      <w:adjustRightInd w:val="0"/>
      <w:textAlignment w:val="baseline"/>
    </w:pPr>
    <w:rPr>
      <w:rFonts w:ascii="Times New Roman" w:hAnsi="Times New Roman"/>
      <w:szCs w:val="20"/>
      <w:lang w:val="es-ES"/>
    </w:rPr>
  </w:style>
  <w:style w:type="paragraph" w:customStyle="1" w:styleId="106">
    <w:name w:val="Normal Arial 11"/>
    <w:basedOn w:val="1"/>
    <w:qFormat/>
    <w:uiPriority w:val="0"/>
    <w:rPr>
      <w:sz w:val="22"/>
      <w:szCs w:val="20"/>
      <w:lang w:val="en-US" w:eastAsia="es-CO"/>
    </w:rPr>
  </w:style>
  <w:style w:type="paragraph" w:customStyle="1" w:styleId="107">
    <w:name w:val="Pa27"/>
    <w:basedOn w:val="86"/>
    <w:next w:val="86"/>
    <w:qFormat/>
    <w:uiPriority w:val="99"/>
    <w:pPr>
      <w:spacing w:line="221" w:lineRule="atLeast"/>
    </w:pPr>
    <w:rPr>
      <w:rFonts w:cstheme="minorBidi"/>
      <w:color w:val="auto"/>
    </w:rPr>
  </w:style>
  <w:style w:type="table" w:customStyle="1" w:styleId="108">
    <w:name w:val="Tabla de cuadrícula 4 - Énfasis 61"/>
    <w:basedOn w:val="9"/>
    <w:qFormat/>
    <w:uiPriority w:val="49"/>
    <w:pPr>
      <w:spacing w:after="0" w:line="240" w:lineRule="auto"/>
    </w:pPr>
    <w:tblPr>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insideV w:val="single" w:color="A8D08D" w:themeColor="accent6" w:themeTint="99" w:sz="4" w:space="0"/>
      </w:tblBorders>
    </w:tblPr>
    <w:tblStylePr w:type="firstRow">
      <w:rPr>
        <w:b/>
        <w:bCs/>
        <w:color w:val="FFFFFF" w:themeColor="background1"/>
        <w14:textFill>
          <w14:solidFill>
            <w14:schemeClr w14:val="bg1"/>
          </w14:solidFill>
        </w14:textFill>
      </w:rPr>
      <w:tcPr>
        <w:tcBorders>
          <w:top w:val="single" w:color="70AD47" w:themeColor="accent6" w:sz="4" w:space="0"/>
          <w:left w:val="single" w:color="70AD47" w:themeColor="accent6" w:sz="4" w:space="0"/>
          <w:bottom w:val="single" w:color="70AD47" w:themeColor="accent6" w:sz="4" w:space="0"/>
          <w:right w:val="single" w:color="70AD47" w:themeColor="accent6" w:sz="4" w:space="0"/>
          <w:insideH w:val="nil"/>
          <w:insideV w:val="nil"/>
        </w:tcBorders>
        <w:shd w:val="clear" w:color="auto" w:fill="70AD47" w:themeFill="accent6"/>
      </w:tcPr>
    </w:tblStylePr>
    <w:tblStylePr w:type="lastRow">
      <w:rPr>
        <w:b/>
        <w:bCs/>
      </w:rPr>
      <w:tcPr>
        <w:tcBorders>
          <w:top w:val="double" w:color="70AD47" w:themeColor="accent6" w:sz="4" w:space="0"/>
        </w:tcBorders>
      </w:tc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table" w:customStyle="1" w:styleId="109">
    <w:name w:val="Grid Table 5 Dark Accent 5"/>
    <w:basedOn w:val="9"/>
    <w:qFormat/>
    <w:uiPriority w:val="50"/>
    <w:pPr>
      <w:spacing w:after="0" w:line="240" w:lineRule="auto"/>
    </w:p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5"/>
      </w:tcPr>
    </w:tblStylePr>
    <w:tblStylePr w:type="band1Vert">
      <w:tcPr>
        <w:shd w:val="clear" w:color="auto" w:fill="B4C6E7" w:themeFill="accent5" w:themeFillTint="66"/>
      </w:tcPr>
    </w:tblStylePr>
    <w:tblStylePr w:type="band1Horz">
      <w:tcPr>
        <w:shd w:val="clear" w:color="auto" w:fill="B4C6E7" w:themeFill="accent5" w:themeFillTint="66"/>
      </w:tcPr>
    </w:tblStylePr>
  </w:style>
  <w:style w:type="table" w:customStyle="1" w:styleId="110">
    <w:name w:val="Grid Table 5 Dark"/>
    <w:basedOn w:val="9"/>
    <w:qFormat/>
    <w:uiPriority w:val="50"/>
    <w:pPr>
      <w:spacing w:after="0" w:line="240" w:lineRule="auto"/>
    </w:p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CCCCC" w:themeFill="tex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0000" w:themeFill="tex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0000" w:themeFill="tex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0000" w:themeFill="tex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0000" w:themeFill="text1"/>
      </w:tcPr>
    </w:tblStylePr>
    <w:tblStylePr w:type="band1Vert">
      <w:tcPr>
        <w:shd w:val="clear" w:color="auto" w:fill="999999" w:themeFill="text1" w:themeFillTint="66"/>
      </w:tcPr>
    </w:tblStylePr>
    <w:tblStylePr w:type="band1Horz">
      <w:tcPr>
        <w:shd w:val="clear" w:color="auto" w:fill="999999" w:themeFill="text1" w:themeFillTint="66"/>
      </w:tcPr>
    </w:tblStylePr>
  </w:style>
  <w:style w:type="table" w:customStyle="1" w:styleId="111">
    <w:name w:val="Grid Table 1 Light Accent 1"/>
    <w:basedOn w:val="9"/>
    <w:qFormat/>
    <w:uiPriority w:val="46"/>
    <w:pPr>
      <w:spacing w:after="0" w:line="240" w:lineRule="auto"/>
    </w:pPr>
    <w:tblPr>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Pr>
    <w:tblStylePr w:type="firstRow">
      <w:rPr>
        <w:b/>
        <w:bCs/>
      </w:rPr>
      <w:tcPr>
        <w:tcBorders>
          <w:bottom w:val="single" w:color="9CC2E5" w:themeColor="accent1" w:themeTint="99" w:sz="12" w:space="0"/>
        </w:tcBorders>
      </w:tcPr>
    </w:tblStylePr>
    <w:tblStylePr w:type="lastRow">
      <w:rPr>
        <w:b/>
        <w:bCs/>
      </w:rPr>
      <w:tcPr>
        <w:tcBorders>
          <w:top w:val="double" w:color="9CC2E5" w:themeColor="accent1" w:themeTint="99" w:sz="2" w:space="0"/>
        </w:tcBorders>
      </w:tcPr>
    </w:tblStylePr>
    <w:tblStylePr w:type="firstCol">
      <w:rPr>
        <w:b/>
        <w:bCs/>
      </w:rPr>
    </w:tblStylePr>
    <w:tblStylePr w:type="lastCol">
      <w:rPr>
        <w:b/>
        <w:bCs/>
      </w:rPr>
    </w:tblStylePr>
  </w:style>
  <w:style w:type="table" w:customStyle="1" w:styleId="112">
    <w:name w:val="Grid Table 4 Accent 2"/>
    <w:basedOn w:val="9"/>
    <w:qFormat/>
    <w:uiPriority w:val="49"/>
    <w:pPr>
      <w:spacing w:after="0" w:line="240" w:lineRule="auto"/>
    </w:pPr>
    <w:tblPr>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firstRow">
      <w:rPr>
        <w:b/>
        <w:bCs/>
        <w:color w:val="FFFFFF" w:themeColor="background1"/>
        <w14:textFill>
          <w14:solidFill>
            <w14:schemeClr w14:val="bg1"/>
          </w14:solidFill>
        </w14:textFill>
      </w:rPr>
      <w:tcPr>
        <w:tcBorders>
          <w:top w:val="single" w:color="ED7D31" w:themeColor="accent2" w:sz="4" w:space="0"/>
          <w:left w:val="single" w:color="ED7D31" w:themeColor="accent2" w:sz="4" w:space="0"/>
          <w:bottom w:val="single" w:color="ED7D31" w:themeColor="accent2" w:sz="4" w:space="0"/>
          <w:right w:val="single" w:color="ED7D31" w:themeColor="accent2" w:sz="4" w:space="0"/>
          <w:insideH w:val="nil"/>
          <w:insideV w:val="nil"/>
        </w:tcBorders>
        <w:shd w:val="clear" w:color="auto" w:fill="ED7D31" w:themeFill="accent2"/>
      </w:tcPr>
    </w:tblStylePr>
    <w:tblStylePr w:type="lastRow">
      <w:rPr>
        <w:b/>
        <w:bCs/>
      </w:rPr>
      <w:tcPr>
        <w:tcBorders>
          <w:top w:val="double" w:color="ED7D31" w:themeColor="accent2" w:sz="4" w:space="0"/>
        </w:tcBorders>
      </w:tcPr>
    </w:tblStylePr>
    <w:tblStylePr w:type="firstCol">
      <w:rPr>
        <w:b/>
        <w:bCs/>
      </w:rPr>
    </w:tblStylePr>
    <w:tblStylePr w:type="lastCol">
      <w:rPr>
        <w:b/>
        <w:bCs/>
      </w:rPr>
    </w:tblStylePr>
    <w:tblStylePr w:type="band1Vert">
      <w:tcPr>
        <w:shd w:val="clear" w:color="auto" w:fill="FBE4D5" w:themeFill="accent2" w:themeFillTint="33"/>
      </w:tcPr>
    </w:tblStylePr>
    <w:tblStylePr w:type="band1Horz">
      <w:tcPr>
        <w:shd w:val="clear" w:color="auto" w:fill="FBE4D5" w:themeFill="accent2" w:themeFillTint="33"/>
      </w:tcPr>
    </w:tblStylePr>
  </w:style>
  <w:style w:type="table" w:customStyle="1" w:styleId="113">
    <w:name w:val="Grid Table 6 Colorful Accent 5"/>
    <w:basedOn w:val="9"/>
    <w:qFormat/>
    <w:uiPriority w:val="51"/>
    <w:pPr>
      <w:spacing w:after="0" w:line="240" w:lineRule="auto"/>
    </w:pPr>
    <w:rPr>
      <w:color w:val="2F5597" w:themeColor="accent5" w:themeShade="BF"/>
    </w:rPr>
    <w:tblPr>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rPr>
      <w:tcPr>
        <w:tcBorders>
          <w:bottom w:val="single" w:color="8EAADB" w:themeColor="accent5" w:themeTint="99" w:sz="12" w:space="0"/>
        </w:tcBorders>
      </w:tcPr>
    </w:tblStylePr>
    <w:tblStylePr w:type="lastRow">
      <w:rPr>
        <w:b/>
        <w:bCs/>
      </w:rPr>
      <w:tcPr>
        <w:tcBorders>
          <w:top w:val="double" w:color="8EAADB" w:themeColor="accent5" w:themeTint="99" w:sz="4" w:space="0"/>
        </w:tcBorders>
      </w:tcPr>
    </w:tblStylePr>
    <w:tblStylePr w:type="firstCol">
      <w:rPr>
        <w:b/>
        <w:bCs/>
      </w:rPr>
    </w:tblStylePr>
    <w:tblStylePr w:type="lastCol">
      <w:rPr>
        <w:b/>
        <w:bCs/>
      </w:rPr>
    </w:tblStylePr>
    <w:tblStylePr w:type="band1Vert">
      <w:tcPr>
        <w:shd w:val="clear" w:color="auto" w:fill="D9E2F3" w:themeFill="accent5" w:themeFillTint="33"/>
      </w:tcPr>
    </w:tblStylePr>
    <w:tblStylePr w:type="band1Horz">
      <w:tcPr>
        <w:shd w:val="clear" w:color="auto" w:fill="D9E2F3" w:themeFill="accent5" w:themeFillTint="33"/>
      </w:tcPr>
    </w:tblStyle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0"/>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EDDB70-49E7-4DE5-88C2-2901C2051760}">
  <ds:schemaRefs/>
</ds:datastoreItem>
</file>

<file path=docProps/app.xml><?xml version="1.0" encoding="utf-8"?>
<Properties xmlns="http://schemas.openxmlformats.org/officeDocument/2006/extended-properties" xmlns:vt="http://schemas.openxmlformats.org/officeDocument/2006/docPropsVTypes">
  <Template>Normal</Template>
  <Pages>120</Pages>
  <Words>32216</Words>
  <Characters>177192</Characters>
  <Lines>1476</Lines>
  <Paragraphs>417</Paragraphs>
  <TotalTime>2210</TotalTime>
  <ScaleCrop>false</ScaleCrop>
  <LinksUpToDate>false</LinksUpToDate>
  <CharactersWithSpaces>208991</CharactersWithSpaces>
  <Application>WPS Office_12.2.0.21546_F1E327BC-269C-435d-A152-05C5408002CA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2019-04-21T21:48:00Z</dcterms:created>
  <dc:creator>USUARIO</dc:creator>
  <cp:lastModifiedBy>ricardo gamboa</cp:lastModifiedBy>
  <cp:lastPrinted>2019-08-21T13:12:00Z</cp:lastPrinted>
  <dcterms:modified xsi:type="dcterms:W3CDTF">2025-07-07T22:04:10Z</dcterms:modified>
  <cp:revision>694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2058-12.2.0.21546</vt:lpwstr>
  </property>
  <property fmtid="{D5CDD505-2E9C-101B-9397-08002B2CF9AE}" pid="3" name="ICV">
    <vt:lpwstr>5F28032B04494982A5DC554E484A6140_12</vt:lpwstr>
  </property>
</Properties>
</file>